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94C28" w14:textId="75272204" w:rsidR="00474A4F" w:rsidRPr="00882C8B" w:rsidRDefault="00474A4F" w:rsidP="002D472E">
      <w:pPr>
        <w:spacing w:line="240" w:lineRule="auto"/>
        <w:rPr>
          <w:rFonts w:asciiTheme="majorHAnsi" w:hAnsiTheme="majorHAnsi" w:cstheme="majorBidi"/>
          <w:sz w:val="144"/>
          <w:szCs w:val="144"/>
        </w:rPr>
      </w:pPr>
      <w:r>
        <w:tab/>
      </w:r>
    </w:p>
    <w:p w14:paraId="214B909F" w14:textId="0CAA62BD" w:rsidR="00E559D1" w:rsidRPr="006F22E7" w:rsidRDefault="00000000" w:rsidP="002D472E">
      <w:pPr>
        <w:spacing w:line="240" w:lineRule="auto"/>
        <w:ind w:left="119" w:right="-23"/>
        <w:rPr>
          <w:rFonts w:eastAsia="Sansa Lloyds" w:cs="Arial"/>
          <w:color w:val="1E35BF"/>
          <w:spacing w:val="-3"/>
          <w:position w:val="-9"/>
          <w:sz w:val="70"/>
          <w:szCs w:val="70"/>
        </w:rPr>
      </w:pPr>
      <w:sdt>
        <w:sdtPr>
          <w:rPr>
            <w:rStyle w:val="MainBodyExport"/>
            <w:sz w:val="70"/>
            <w:szCs w:val="70"/>
          </w:rPr>
          <w:alias w:val="Title"/>
          <w:tag w:val="Title"/>
          <w:id w:val="303283508"/>
          <w:placeholder>
            <w:docPart w:val="54D525DFFD7E8F40B9430704B79C1686"/>
          </w:placeholder>
          <w15:color w:val="000000"/>
        </w:sdtPr>
        <w:sdtEndPr>
          <w:rPr>
            <w:rStyle w:val="DefaultParagraphFont"/>
            <w:color w:val="auto"/>
          </w:rPr>
        </w:sdtEndPr>
        <w:sdtContent>
          <w:r w:rsidR="00AA59AF" w:rsidRPr="006F22E7">
            <w:rPr>
              <w:rFonts w:eastAsia="Sansa Lloyds" w:cs="Arial"/>
              <w:color w:val="1E35BF"/>
              <w:spacing w:val="-3"/>
              <w:position w:val="-9"/>
              <w:sz w:val="70"/>
              <w:szCs w:val="70"/>
            </w:rPr>
            <w:t>Lloyd’s</w:t>
          </w:r>
          <w:r w:rsidR="00CD096E" w:rsidRPr="006F22E7">
            <w:rPr>
              <w:rFonts w:eastAsia="Sansa Lloyds" w:cs="Arial"/>
              <w:color w:val="1E35BF"/>
              <w:spacing w:val="-3"/>
              <w:position w:val="-9"/>
              <w:sz w:val="70"/>
              <w:szCs w:val="70"/>
            </w:rPr>
            <w:t xml:space="preserve"> </w:t>
          </w:r>
          <w:r w:rsidR="510AA42C" w:rsidRPr="006F22E7">
            <w:rPr>
              <w:rFonts w:eastAsia="Sansa Lloyds" w:cs="Arial"/>
              <w:color w:val="1E35BF"/>
              <w:spacing w:val="-3"/>
              <w:position w:val="-9"/>
              <w:sz w:val="70"/>
              <w:szCs w:val="70"/>
            </w:rPr>
            <w:t>Supplementary</w:t>
          </w:r>
          <w:r w:rsidR="002F675B" w:rsidRPr="006F22E7">
            <w:rPr>
              <w:rFonts w:eastAsia="Sansa Lloyds" w:cs="Arial"/>
              <w:color w:val="1E35BF"/>
              <w:spacing w:val="-3"/>
              <w:position w:val="-9"/>
              <w:sz w:val="70"/>
              <w:szCs w:val="70"/>
            </w:rPr>
            <w:t xml:space="preserve"> </w:t>
          </w:r>
          <w:r w:rsidR="00B87D02" w:rsidRPr="006F22E7">
            <w:rPr>
              <w:rFonts w:eastAsia="Sansa Lloyds" w:cs="Arial"/>
              <w:color w:val="1E35BF"/>
              <w:spacing w:val="-3"/>
              <w:position w:val="-9"/>
              <w:sz w:val="70"/>
              <w:szCs w:val="70"/>
            </w:rPr>
            <w:t>S</w:t>
          </w:r>
          <w:r w:rsidR="002F675B" w:rsidRPr="006F22E7">
            <w:rPr>
              <w:rFonts w:eastAsia="Sansa Lloyds" w:cs="Arial"/>
              <w:color w:val="1E35BF"/>
              <w:spacing w:val="-3"/>
              <w:position w:val="-9"/>
              <w:sz w:val="70"/>
              <w:szCs w:val="70"/>
            </w:rPr>
            <w:t>olvency</w:t>
          </w:r>
          <w:r w:rsidR="00952900" w:rsidRPr="006F22E7">
            <w:rPr>
              <w:rFonts w:eastAsia="Sansa Lloyds" w:cs="Arial"/>
              <w:color w:val="1E35BF"/>
              <w:spacing w:val="-3"/>
              <w:position w:val="-9"/>
              <w:sz w:val="70"/>
              <w:szCs w:val="70"/>
            </w:rPr>
            <w:t xml:space="preserve"> </w:t>
          </w:r>
          <w:r w:rsidR="00B87D02" w:rsidRPr="006F22E7">
            <w:rPr>
              <w:rFonts w:eastAsia="Sansa Lloyds" w:cs="Arial"/>
              <w:color w:val="1E35BF"/>
              <w:spacing w:val="-3"/>
              <w:position w:val="-9"/>
              <w:sz w:val="70"/>
              <w:szCs w:val="70"/>
            </w:rPr>
            <w:t>D</w:t>
          </w:r>
          <w:r w:rsidR="00AA59AF" w:rsidRPr="006F22E7">
            <w:rPr>
              <w:rFonts w:eastAsia="Sansa Lloyds" w:cs="Arial"/>
              <w:color w:val="1E35BF"/>
              <w:spacing w:val="-3"/>
              <w:position w:val="-9"/>
              <w:sz w:val="70"/>
              <w:szCs w:val="70"/>
            </w:rPr>
            <w:t xml:space="preserve">ata </w:t>
          </w:r>
          <w:r w:rsidR="00E106F4">
            <w:rPr>
              <w:rFonts w:eastAsia="Sansa Lloyds" w:cs="Arial"/>
              <w:color w:val="1E35BF"/>
              <w:spacing w:val="-3"/>
              <w:position w:val="-9"/>
              <w:sz w:val="70"/>
              <w:szCs w:val="70"/>
            </w:rPr>
            <w:t>I</w:t>
          </w:r>
          <w:r w:rsidR="00AA59AF" w:rsidRPr="006F22E7">
            <w:rPr>
              <w:rFonts w:eastAsia="Sansa Lloyds" w:cs="Arial"/>
              <w:color w:val="1E35BF"/>
              <w:spacing w:val="-3"/>
              <w:position w:val="-9"/>
              <w:sz w:val="70"/>
              <w:szCs w:val="70"/>
            </w:rPr>
            <w:t>nstructions</w:t>
          </w:r>
          <w:r w:rsidR="002F675B" w:rsidRPr="006F22E7">
            <w:rPr>
              <w:rFonts w:eastAsia="Sansa Lloyds" w:cs="Arial"/>
              <w:color w:val="1E35BF"/>
              <w:spacing w:val="-3"/>
              <w:position w:val="-9"/>
              <w:sz w:val="70"/>
              <w:szCs w:val="70"/>
            </w:rPr>
            <w:t xml:space="preserve"> </w:t>
          </w:r>
        </w:sdtContent>
      </w:sdt>
      <w:r w:rsidR="00CE674E" w:rsidRPr="006F22E7">
        <w:rPr>
          <w:rFonts w:eastAsia="Sansa Lloyds" w:cs="Arial"/>
          <w:color w:val="1E35BF"/>
          <w:spacing w:val="-3"/>
          <w:position w:val="-9"/>
          <w:sz w:val="70"/>
          <w:szCs w:val="70"/>
        </w:rPr>
        <w:t xml:space="preserve"> </w:t>
      </w:r>
    </w:p>
    <w:p w14:paraId="428FFF3E" w14:textId="77777777" w:rsidR="00E559D1" w:rsidRDefault="00E559D1" w:rsidP="002D472E">
      <w:pPr>
        <w:spacing w:line="240" w:lineRule="auto"/>
        <w:ind w:left="121" w:right="-20"/>
        <w:rPr>
          <w:rFonts w:eastAsia="Sansa Lloyds" w:cs="Arial"/>
          <w:spacing w:val="-3"/>
          <w:sz w:val="28"/>
          <w:szCs w:val="28"/>
        </w:rPr>
      </w:pPr>
    </w:p>
    <w:p w14:paraId="1E395FDA" w14:textId="561B85EA" w:rsidR="002F124D" w:rsidRDefault="002F124D" w:rsidP="002F124D">
      <w:pPr>
        <w:pStyle w:val="TableText0"/>
        <w:tabs>
          <w:tab w:val="left" w:pos="2790"/>
        </w:tabs>
        <w:spacing w:after="120"/>
        <w:rPr>
          <w:b/>
          <w:bCs/>
          <w:sz w:val="22"/>
          <w:szCs w:val="22"/>
        </w:rPr>
      </w:pPr>
    </w:p>
    <w:p w14:paraId="2DCCF4C5" w14:textId="77777777" w:rsidR="002F124D" w:rsidRDefault="002F124D" w:rsidP="002D472E">
      <w:pPr>
        <w:pStyle w:val="TableText0"/>
        <w:tabs>
          <w:tab w:val="left" w:pos="2790"/>
        </w:tabs>
        <w:spacing w:after="120"/>
        <w:ind w:left="142"/>
        <w:rPr>
          <w:b/>
          <w:bCs/>
          <w:sz w:val="22"/>
          <w:szCs w:val="22"/>
        </w:rPr>
      </w:pPr>
    </w:p>
    <w:p w14:paraId="1103731D" w14:textId="2384066F" w:rsidR="005A6D0B" w:rsidRPr="00E822C9" w:rsidRDefault="00E822C9" w:rsidP="002D472E">
      <w:pPr>
        <w:pStyle w:val="TableText0"/>
        <w:tabs>
          <w:tab w:val="left" w:pos="2790"/>
        </w:tabs>
        <w:spacing w:after="120"/>
        <w:ind w:left="142"/>
        <w:rPr>
          <w:b/>
          <w:bCs/>
          <w:sz w:val="22"/>
          <w:szCs w:val="22"/>
        </w:rPr>
        <w:sectPr w:rsidR="005A6D0B" w:rsidRPr="00E822C9" w:rsidSect="00B25E22">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474" w:right="1021" w:bottom="1361" w:left="1134" w:header="227" w:footer="720" w:gutter="0"/>
          <w:cols w:space="720"/>
          <w:titlePg/>
          <w:docGrid w:linePitch="245"/>
        </w:sectPr>
      </w:pPr>
      <w:r w:rsidRPr="0007686D">
        <w:rPr>
          <w:b/>
          <w:bCs/>
          <w:sz w:val="22"/>
          <w:szCs w:val="22"/>
        </w:rPr>
        <w:t xml:space="preserve">Version </w:t>
      </w:r>
      <w:r w:rsidR="00FF037F" w:rsidRPr="0007686D">
        <w:rPr>
          <w:b/>
          <w:bCs/>
          <w:sz w:val="22"/>
          <w:szCs w:val="22"/>
        </w:rPr>
        <w:t>1.</w:t>
      </w:r>
      <w:r w:rsidR="008D67DC">
        <w:rPr>
          <w:b/>
          <w:bCs/>
          <w:sz w:val="22"/>
          <w:szCs w:val="22"/>
        </w:rPr>
        <w:t>1</w:t>
      </w:r>
    </w:p>
    <w:sdt>
      <w:sdtPr>
        <w:rPr>
          <w:rFonts w:ascii="Arial" w:eastAsia="Times New Roman" w:hAnsi="Arial" w:cs="Times New Roman"/>
          <w:b/>
          <w:bCs w:val="0"/>
          <w:color w:val="auto"/>
          <w:sz w:val="18"/>
          <w:szCs w:val="18"/>
          <w:shd w:val="clear" w:color="auto" w:fill="E6E6E6"/>
          <w:lang w:val="en-GB" w:eastAsia="en-GB"/>
        </w:rPr>
        <w:id w:val="602234789"/>
        <w:docPartObj>
          <w:docPartGallery w:val="Table of Contents"/>
          <w:docPartUnique/>
        </w:docPartObj>
      </w:sdtPr>
      <w:sdtEndPr>
        <w:rPr>
          <w:b w:val="0"/>
        </w:rPr>
      </w:sdtEndPr>
      <w:sdtContent>
        <w:p w14:paraId="763A7BF8" w14:textId="77777777" w:rsidR="00F90A2E" w:rsidRDefault="00F90A2E" w:rsidP="002D472E">
          <w:pPr>
            <w:pStyle w:val="TOCHeading"/>
            <w:spacing w:after="120" w:line="240" w:lineRule="auto"/>
          </w:pPr>
          <w:r w:rsidRPr="00201FF4">
            <w:t>Table of Contents</w:t>
          </w:r>
        </w:p>
        <w:p w14:paraId="3F2C4B7B" w14:textId="77777777" w:rsidR="001E4AF9" w:rsidRPr="003C338E" w:rsidRDefault="001E4AF9" w:rsidP="00F3312B"/>
        <w:p w14:paraId="3CE8A1F3" w14:textId="086EBD95" w:rsidR="00664010" w:rsidRDefault="00F90A2E">
          <w:pPr>
            <w:pStyle w:val="TOC1"/>
            <w:rPr>
              <w:rFonts w:asciiTheme="minorHAnsi" w:eastAsiaTheme="minorEastAsia" w:hAnsiTheme="minorHAnsi" w:cstheme="minorBidi"/>
              <w:b w:val="0"/>
              <w:kern w:val="2"/>
              <w:sz w:val="24"/>
              <w:szCs w:val="24"/>
              <w14:ligatures w14:val="standardContextual"/>
            </w:rPr>
          </w:pPr>
          <w:r w:rsidRPr="00201FF4">
            <w:rPr>
              <w:color w:val="2B579A"/>
              <w:shd w:val="clear" w:color="auto" w:fill="E6E6E6"/>
            </w:rPr>
            <w:fldChar w:fldCharType="begin"/>
          </w:r>
          <w:r w:rsidRPr="00201FF4">
            <w:instrText xml:space="preserve"> TOC \o "1-3" \h \z \u </w:instrText>
          </w:r>
          <w:r w:rsidRPr="00201FF4">
            <w:rPr>
              <w:color w:val="2B579A"/>
              <w:shd w:val="clear" w:color="auto" w:fill="E6E6E6"/>
            </w:rPr>
            <w:fldChar w:fldCharType="separate"/>
          </w:r>
          <w:hyperlink w:anchor="_Toc225844963" w:history="1">
            <w:r w:rsidR="00664010" w:rsidRPr="00D319E0">
              <w:rPr>
                <w:rStyle w:val="Hyperlink"/>
                <w:rFonts w:cstheme="majorHAnsi"/>
                <w:bCs/>
              </w:rPr>
              <w:t>1</w:t>
            </w:r>
            <w:r w:rsidR="00664010">
              <w:rPr>
                <w:rFonts w:asciiTheme="minorHAnsi" w:eastAsiaTheme="minorEastAsia" w:hAnsiTheme="minorHAnsi" w:cstheme="minorBidi"/>
                <w:b w:val="0"/>
                <w:kern w:val="2"/>
                <w:sz w:val="24"/>
                <w:szCs w:val="24"/>
                <w14:ligatures w14:val="standardContextual"/>
              </w:rPr>
              <w:tab/>
            </w:r>
            <w:r w:rsidR="00664010" w:rsidRPr="00D319E0">
              <w:rPr>
                <w:rStyle w:val="Hyperlink"/>
              </w:rPr>
              <w:t>Reporting Requirements</w:t>
            </w:r>
            <w:r w:rsidR="00664010">
              <w:rPr>
                <w:webHidden/>
              </w:rPr>
              <w:tab/>
            </w:r>
            <w:r w:rsidR="00664010">
              <w:rPr>
                <w:webHidden/>
              </w:rPr>
              <w:fldChar w:fldCharType="begin"/>
            </w:r>
            <w:r w:rsidR="00664010">
              <w:rPr>
                <w:webHidden/>
              </w:rPr>
              <w:instrText xml:space="preserve"> PAGEREF _Toc225844963 \h </w:instrText>
            </w:r>
            <w:r w:rsidR="00664010">
              <w:rPr>
                <w:webHidden/>
              </w:rPr>
            </w:r>
            <w:r w:rsidR="00664010">
              <w:rPr>
                <w:webHidden/>
              </w:rPr>
              <w:fldChar w:fldCharType="separate"/>
            </w:r>
            <w:r w:rsidR="00664010">
              <w:rPr>
                <w:webHidden/>
              </w:rPr>
              <w:t>3</w:t>
            </w:r>
            <w:r w:rsidR="00664010">
              <w:rPr>
                <w:webHidden/>
              </w:rPr>
              <w:fldChar w:fldCharType="end"/>
            </w:r>
          </w:hyperlink>
        </w:p>
        <w:p w14:paraId="4399AE16" w14:textId="0D34FE0E" w:rsidR="00664010" w:rsidRDefault="00664010">
          <w:pPr>
            <w:pStyle w:val="TOC2"/>
            <w:rPr>
              <w:rFonts w:asciiTheme="minorHAnsi" w:eastAsiaTheme="minorEastAsia" w:hAnsiTheme="minorHAnsi" w:cstheme="minorBidi"/>
              <w:kern w:val="2"/>
              <w:sz w:val="24"/>
              <w:szCs w:val="24"/>
              <w14:ligatures w14:val="standardContextual"/>
            </w:rPr>
          </w:pPr>
          <w:hyperlink w:anchor="_Toc225844964" w:history="1">
            <w:r w:rsidRPr="00D319E0">
              <w:rPr>
                <w:rStyle w:val="Hyperlink"/>
              </w:rPr>
              <w:t>1.1</w:t>
            </w:r>
            <w:r>
              <w:rPr>
                <w:rFonts w:asciiTheme="minorHAnsi" w:eastAsiaTheme="minorEastAsia" w:hAnsiTheme="minorHAnsi" w:cstheme="minorBidi"/>
                <w:kern w:val="2"/>
                <w:sz w:val="24"/>
                <w:szCs w:val="24"/>
                <w14:ligatures w14:val="standardContextual"/>
              </w:rPr>
              <w:tab/>
            </w:r>
            <w:r w:rsidRPr="00D319E0">
              <w:rPr>
                <w:rStyle w:val="Hyperlink"/>
              </w:rPr>
              <w:t>Overview of the return</w:t>
            </w:r>
            <w:r>
              <w:rPr>
                <w:webHidden/>
              </w:rPr>
              <w:tab/>
            </w:r>
            <w:r>
              <w:rPr>
                <w:webHidden/>
              </w:rPr>
              <w:fldChar w:fldCharType="begin"/>
            </w:r>
            <w:r>
              <w:rPr>
                <w:webHidden/>
              </w:rPr>
              <w:instrText xml:space="preserve"> PAGEREF _Toc225844964 \h </w:instrText>
            </w:r>
            <w:r>
              <w:rPr>
                <w:webHidden/>
              </w:rPr>
            </w:r>
            <w:r>
              <w:rPr>
                <w:webHidden/>
              </w:rPr>
              <w:fldChar w:fldCharType="separate"/>
            </w:r>
            <w:r>
              <w:rPr>
                <w:webHidden/>
              </w:rPr>
              <w:t>3</w:t>
            </w:r>
            <w:r>
              <w:rPr>
                <w:webHidden/>
              </w:rPr>
              <w:fldChar w:fldCharType="end"/>
            </w:r>
          </w:hyperlink>
        </w:p>
        <w:p w14:paraId="79B84E6A" w14:textId="203CC363" w:rsidR="00664010" w:rsidRDefault="00664010">
          <w:pPr>
            <w:pStyle w:val="TOC2"/>
            <w:rPr>
              <w:rFonts w:asciiTheme="minorHAnsi" w:eastAsiaTheme="minorEastAsia" w:hAnsiTheme="minorHAnsi" w:cstheme="minorBidi"/>
              <w:kern w:val="2"/>
              <w:sz w:val="24"/>
              <w:szCs w:val="24"/>
              <w14:ligatures w14:val="standardContextual"/>
            </w:rPr>
          </w:pPr>
          <w:hyperlink w:anchor="_Toc225844965" w:history="1">
            <w:r w:rsidRPr="00D319E0">
              <w:rPr>
                <w:rStyle w:val="Hyperlink"/>
              </w:rPr>
              <w:t>1.2</w:t>
            </w:r>
            <w:r>
              <w:rPr>
                <w:rFonts w:asciiTheme="minorHAnsi" w:eastAsiaTheme="minorEastAsia" w:hAnsiTheme="minorHAnsi" w:cstheme="minorBidi"/>
                <w:kern w:val="2"/>
                <w:sz w:val="24"/>
                <w:szCs w:val="24"/>
                <w14:ligatures w14:val="standardContextual"/>
              </w:rPr>
              <w:tab/>
            </w:r>
            <w:r w:rsidRPr="00D319E0">
              <w:rPr>
                <w:rStyle w:val="Hyperlink"/>
              </w:rPr>
              <w:t>Preparation guidance</w:t>
            </w:r>
            <w:r>
              <w:rPr>
                <w:webHidden/>
              </w:rPr>
              <w:tab/>
            </w:r>
            <w:r>
              <w:rPr>
                <w:webHidden/>
              </w:rPr>
              <w:fldChar w:fldCharType="begin"/>
            </w:r>
            <w:r>
              <w:rPr>
                <w:webHidden/>
              </w:rPr>
              <w:instrText xml:space="preserve"> PAGEREF _Toc225844965 \h </w:instrText>
            </w:r>
            <w:r>
              <w:rPr>
                <w:webHidden/>
              </w:rPr>
            </w:r>
            <w:r>
              <w:rPr>
                <w:webHidden/>
              </w:rPr>
              <w:fldChar w:fldCharType="separate"/>
            </w:r>
            <w:r>
              <w:rPr>
                <w:webHidden/>
              </w:rPr>
              <w:t>3</w:t>
            </w:r>
            <w:r>
              <w:rPr>
                <w:webHidden/>
              </w:rPr>
              <w:fldChar w:fldCharType="end"/>
            </w:r>
          </w:hyperlink>
        </w:p>
        <w:p w14:paraId="2EA54334" w14:textId="33B61A00" w:rsidR="00664010" w:rsidRDefault="00664010">
          <w:pPr>
            <w:pStyle w:val="TOC1"/>
            <w:rPr>
              <w:rFonts w:asciiTheme="minorHAnsi" w:eastAsiaTheme="minorEastAsia" w:hAnsiTheme="minorHAnsi" w:cstheme="minorBidi"/>
              <w:b w:val="0"/>
              <w:kern w:val="2"/>
              <w:sz w:val="24"/>
              <w:szCs w:val="24"/>
              <w14:ligatures w14:val="standardContextual"/>
            </w:rPr>
          </w:pPr>
          <w:hyperlink w:anchor="_Toc225844966" w:history="1">
            <w:r w:rsidRPr="00D319E0">
              <w:rPr>
                <w:rStyle w:val="Hyperlink"/>
                <w:rFonts w:cstheme="majorHAnsi"/>
                <w:bCs/>
              </w:rPr>
              <w:t>2</w:t>
            </w:r>
            <w:r>
              <w:rPr>
                <w:rFonts w:asciiTheme="minorHAnsi" w:eastAsiaTheme="minorEastAsia" w:hAnsiTheme="minorHAnsi" w:cstheme="minorBidi"/>
                <w:b w:val="0"/>
                <w:kern w:val="2"/>
                <w:sz w:val="24"/>
                <w:szCs w:val="24"/>
                <w14:ligatures w14:val="standardContextual"/>
              </w:rPr>
              <w:tab/>
            </w:r>
            <w:r w:rsidRPr="00D319E0">
              <w:rPr>
                <w:rStyle w:val="Hyperlink"/>
              </w:rPr>
              <w:t>Template instructions</w:t>
            </w:r>
            <w:r>
              <w:rPr>
                <w:webHidden/>
              </w:rPr>
              <w:tab/>
            </w:r>
            <w:r>
              <w:rPr>
                <w:webHidden/>
              </w:rPr>
              <w:fldChar w:fldCharType="begin"/>
            </w:r>
            <w:r>
              <w:rPr>
                <w:webHidden/>
              </w:rPr>
              <w:instrText xml:space="preserve"> PAGEREF _Toc225844966 \h </w:instrText>
            </w:r>
            <w:r>
              <w:rPr>
                <w:webHidden/>
              </w:rPr>
            </w:r>
            <w:r>
              <w:rPr>
                <w:webHidden/>
              </w:rPr>
              <w:fldChar w:fldCharType="separate"/>
            </w:r>
            <w:r>
              <w:rPr>
                <w:webHidden/>
              </w:rPr>
              <w:t>3</w:t>
            </w:r>
            <w:r>
              <w:rPr>
                <w:webHidden/>
              </w:rPr>
              <w:fldChar w:fldCharType="end"/>
            </w:r>
          </w:hyperlink>
        </w:p>
        <w:p w14:paraId="150FDDC3" w14:textId="44CAB05A" w:rsidR="00664010" w:rsidRDefault="00664010">
          <w:pPr>
            <w:pStyle w:val="TOC2"/>
            <w:rPr>
              <w:rFonts w:asciiTheme="minorHAnsi" w:eastAsiaTheme="minorEastAsia" w:hAnsiTheme="minorHAnsi" w:cstheme="minorBidi"/>
              <w:kern w:val="2"/>
              <w:sz w:val="24"/>
              <w:szCs w:val="24"/>
              <w14:ligatures w14:val="standardContextual"/>
            </w:rPr>
          </w:pPr>
          <w:hyperlink w:anchor="_Toc225844967" w:history="1">
            <w:r w:rsidRPr="00D319E0">
              <w:rPr>
                <w:rStyle w:val="Hyperlink"/>
              </w:rPr>
              <w:t>2.1</w:t>
            </w:r>
            <w:r>
              <w:rPr>
                <w:rFonts w:asciiTheme="minorHAnsi" w:eastAsiaTheme="minorEastAsia" w:hAnsiTheme="minorHAnsi" w:cstheme="minorBidi"/>
                <w:kern w:val="2"/>
                <w:sz w:val="24"/>
                <w:szCs w:val="24"/>
                <w14:ligatures w14:val="standardContextual"/>
              </w:rPr>
              <w:tab/>
            </w:r>
            <w:r w:rsidRPr="00D319E0">
              <w:rPr>
                <w:rStyle w:val="Hyperlink"/>
              </w:rPr>
              <w:t>Cover</w:t>
            </w:r>
            <w:r>
              <w:rPr>
                <w:webHidden/>
              </w:rPr>
              <w:tab/>
            </w:r>
            <w:r>
              <w:rPr>
                <w:webHidden/>
              </w:rPr>
              <w:fldChar w:fldCharType="begin"/>
            </w:r>
            <w:r>
              <w:rPr>
                <w:webHidden/>
              </w:rPr>
              <w:instrText xml:space="preserve"> PAGEREF _Toc225844967 \h </w:instrText>
            </w:r>
            <w:r>
              <w:rPr>
                <w:webHidden/>
              </w:rPr>
            </w:r>
            <w:r>
              <w:rPr>
                <w:webHidden/>
              </w:rPr>
              <w:fldChar w:fldCharType="separate"/>
            </w:r>
            <w:r>
              <w:rPr>
                <w:webHidden/>
              </w:rPr>
              <w:t>3</w:t>
            </w:r>
            <w:r>
              <w:rPr>
                <w:webHidden/>
              </w:rPr>
              <w:fldChar w:fldCharType="end"/>
            </w:r>
          </w:hyperlink>
        </w:p>
        <w:p w14:paraId="1CBB3A57" w14:textId="52BBD0C1" w:rsidR="00664010" w:rsidRDefault="00664010">
          <w:pPr>
            <w:pStyle w:val="TOC2"/>
            <w:rPr>
              <w:rFonts w:asciiTheme="minorHAnsi" w:eastAsiaTheme="minorEastAsia" w:hAnsiTheme="minorHAnsi" w:cstheme="minorBidi"/>
              <w:kern w:val="2"/>
              <w:sz w:val="24"/>
              <w:szCs w:val="24"/>
              <w14:ligatures w14:val="standardContextual"/>
            </w:rPr>
          </w:pPr>
          <w:hyperlink w:anchor="_Toc225844968" w:history="1">
            <w:r w:rsidRPr="00D319E0">
              <w:rPr>
                <w:rStyle w:val="Hyperlink"/>
              </w:rPr>
              <w:t>2.2</w:t>
            </w:r>
            <w:r>
              <w:rPr>
                <w:rFonts w:asciiTheme="minorHAnsi" w:eastAsiaTheme="minorEastAsia" w:hAnsiTheme="minorHAnsi" w:cstheme="minorBidi"/>
                <w:kern w:val="2"/>
                <w:sz w:val="24"/>
                <w:szCs w:val="24"/>
                <w14:ligatures w14:val="standardContextual"/>
              </w:rPr>
              <w:tab/>
            </w:r>
            <w:r w:rsidRPr="00D319E0">
              <w:rPr>
                <w:rStyle w:val="Hyperlink"/>
              </w:rPr>
              <w:t>Solvency balance sheet reconciliation and reinsurance contract boundary</w:t>
            </w:r>
            <w:r>
              <w:rPr>
                <w:webHidden/>
              </w:rPr>
              <w:tab/>
            </w:r>
            <w:r>
              <w:rPr>
                <w:webHidden/>
              </w:rPr>
              <w:fldChar w:fldCharType="begin"/>
            </w:r>
            <w:r>
              <w:rPr>
                <w:webHidden/>
              </w:rPr>
              <w:instrText xml:space="preserve"> PAGEREF _Toc225844968 \h </w:instrText>
            </w:r>
            <w:r>
              <w:rPr>
                <w:webHidden/>
              </w:rPr>
            </w:r>
            <w:r>
              <w:rPr>
                <w:webHidden/>
              </w:rPr>
              <w:fldChar w:fldCharType="separate"/>
            </w:r>
            <w:r>
              <w:rPr>
                <w:webHidden/>
              </w:rPr>
              <w:t>3</w:t>
            </w:r>
            <w:r>
              <w:rPr>
                <w:webHidden/>
              </w:rPr>
              <w:fldChar w:fldCharType="end"/>
            </w:r>
          </w:hyperlink>
        </w:p>
        <w:p w14:paraId="55B9CD6F" w14:textId="790A15AC" w:rsidR="00664010" w:rsidRDefault="00664010">
          <w:pPr>
            <w:pStyle w:val="TOC2"/>
            <w:rPr>
              <w:rFonts w:asciiTheme="minorHAnsi" w:eastAsiaTheme="minorEastAsia" w:hAnsiTheme="minorHAnsi" w:cstheme="minorBidi"/>
              <w:kern w:val="2"/>
              <w:sz w:val="24"/>
              <w:szCs w:val="24"/>
              <w14:ligatures w14:val="standardContextual"/>
            </w:rPr>
          </w:pPr>
          <w:hyperlink w:anchor="_Toc225844969" w:history="1">
            <w:r w:rsidRPr="00D319E0">
              <w:rPr>
                <w:rStyle w:val="Hyperlink"/>
              </w:rPr>
              <w:t>2.3</w:t>
            </w:r>
            <w:r>
              <w:rPr>
                <w:rFonts w:asciiTheme="minorHAnsi" w:eastAsiaTheme="minorEastAsia" w:hAnsiTheme="minorHAnsi" w:cstheme="minorBidi"/>
                <w:kern w:val="2"/>
                <w:sz w:val="24"/>
                <w:szCs w:val="24"/>
                <w14:ligatures w14:val="standardContextual"/>
              </w:rPr>
              <w:tab/>
            </w:r>
            <w:r w:rsidRPr="00D319E0">
              <w:rPr>
                <w:rStyle w:val="Hyperlink"/>
              </w:rPr>
              <w:t>Solvency Balance Sheet Reconciliation</w:t>
            </w:r>
            <w:r>
              <w:rPr>
                <w:webHidden/>
              </w:rPr>
              <w:tab/>
            </w:r>
            <w:r>
              <w:rPr>
                <w:webHidden/>
              </w:rPr>
              <w:fldChar w:fldCharType="begin"/>
            </w:r>
            <w:r>
              <w:rPr>
                <w:webHidden/>
              </w:rPr>
              <w:instrText xml:space="preserve"> PAGEREF _Toc225844969 \h </w:instrText>
            </w:r>
            <w:r>
              <w:rPr>
                <w:webHidden/>
              </w:rPr>
            </w:r>
            <w:r>
              <w:rPr>
                <w:webHidden/>
              </w:rPr>
              <w:fldChar w:fldCharType="separate"/>
            </w:r>
            <w:r>
              <w:rPr>
                <w:webHidden/>
              </w:rPr>
              <w:t>4</w:t>
            </w:r>
            <w:r>
              <w:rPr>
                <w:webHidden/>
              </w:rPr>
              <w:fldChar w:fldCharType="end"/>
            </w:r>
          </w:hyperlink>
        </w:p>
        <w:p w14:paraId="540AED25" w14:textId="60710CA5" w:rsidR="00664010" w:rsidRDefault="00664010">
          <w:pPr>
            <w:pStyle w:val="TOC2"/>
            <w:rPr>
              <w:rFonts w:asciiTheme="minorHAnsi" w:eastAsiaTheme="minorEastAsia" w:hAnsiTheme="minorHAnsi" w:cstheme="minorBidi"/>
              <w:kern w:val="2"/>
              <w:sz w:val="24"/>
              <w:szCs w:val="24"/>
              <w14:ligatures w14:val="standardContextual"/>
            </w:rPr>
          </w:pPr>
          <w:hyperlink w:anchor="_Toc225844970" w:history="1">
            <w:r w:rsidRPr="00D319E0">
              <w:rPr>
                <w:rStyle w:val="Hyperlink"/>
              </w:rPr>
              <w:t>2.4</w:t>
            </w:r>
            <w:r>
              <w:rPr>
                <w:rFonts w:asciiTheme="minorHAnsi" w:eastAsiaTheme="minorEastAsia" w:hAnsiTheme="minorHAnsi" w:cstheme="minorBidi"/>
                <w:kern w:val="2"/>
                <w:sz w:val="24"/>
                <w:szCs w:val="24"/>
                <w14:ligatures w14:val="standardContextual"/>
              </w:rPr>
              <w:tab/>
            </w:r>
            <w:r w:rsidRPr="00D319E0">
              <w:rPr>
                <w:rStyle w:val="Hyperlink"/>
              </w:rPr>
              <w:t>Unearned incepted ultimate premiums and claims</w:t>
            </w:r>
            <w:r>
              <w:rPr>
                <w:webHidden/>
              </w:rPr>
              <w:tab/>
            </w:r>
            <w:r>
              <w:rPr>
                <w:webHidden/>
              </w:rPr>
              <w:fldChar w:fldCharType="begin"/>
            </w:r>
            <w:r>
              <w:rPr>
                <w:webHidden/>
              </w:rPr>
              <w:instrText xml:space="preserve"> PAGEREF _Toc225844970 \h </w:instrText>
            </w:r>
            <w:r>
              <w:rPr>
                <w:webHidden/>
              </w:rPr>
            </w:r>
            <w:r>
              <w:rPr>
                <w:webHidden/>
              </w:rPr>
              <w:fldChar w:fldCharType="separate"/>
            </w:r>
            <w:r>
              <w:rPr>
                <w:webHidden/>
              </w:rPr>
              <w:t>8</w:t>
            </w:r>
            <w:r>
              <w:rPr>
                <w:webHidden/>
              </w:rPr>
              <w:fldChar w:fldCharType="end"/>
            </w:r>
          </w:hyperlink>
        </w:p>
        <w:p w14:paraId="42388BC5" w14:textId="33240513" w:rsidR="00664010" w:rsidRDefault="00664010">
          <w:pPr>
            <w:pStyle w:val="TOC2"/>
            <w:rPr>
              <w:rFonts w:asciiTheme="minorHAnsi" w:eastAsiaTheme="minorEastAsia" w:hAnsiTheme="minorHAnsi" w:cstheme="minorBidi"/>
              <w:kern w:val="2"/>
              <w:sz w:val="24"/>
              <w:szCs w:val="24"/>
              <w14:ligatures w14:val="standardContextual"/>
            </w:rPr>
          </w:pPr>
          <w:hyperlink w:anchor="_Toc225844971" w:history="1">
            <w:r w:rsidRPr="00D319E0">
              <w:rPr>
                <w:rStyle w:val="Hyperlink"/>
              </w:rPr>
              <w:t>2.5</w:t>
            </w:r>
            <w:r>
              <w:rPr>
                <w:rFonts w:asciiTheme="minorHAnsi" w:eastAsiaTheme="minorEastAsia" w:hAnsiTheme="minorHAnsi" w:cstheme="minorBidi"/>
                <w:kern w:val="2"/>
                <w:sz w:val="24"/>
                <w:szCs w:val="24"/>
                <w14:ligatures w14:val="standardContextual"/>
              </w:rPr>
              <w:tab/>
            </w:r>
            <w:r w:rsidRPr="00D319E0">
              <w:rPr>
                <w:rStyle w:val="Hyperlink"/>
              </w:rPr>
              <w:t>Impact of reinsurance contract boundary change</w:t>
            </w:r>
            <w:r>
              <w:rPr>
                <w:webHidden/>
              </w:rPr>
              <w:tab/>
            </w:r>
            <w:r>
              <w:rPr>
                <w:webHidden/>
              </w:rPr>
              <w:fldChar w:fldCharType="begin"/>
            </w:r>
            <w:r>
              <w:rPr>
                <w:webHidden/>
              </w:rPr>
              <w:instrText xml:space="preserve"> PAGEREF _Toc225844971 \h </w:instrText>
            </w:r>
            <w:r>
              <w:rPr>
                <w:webHidden/>
              </w:rPr>
            </w:r>
            <w:r>
              <w:rPr>
                <w:webHidden/>
              </w:rPr>
              <w:fldChar w:fldCharType="separate"/>
            </w:r>
            <w:r>
              <w:rPr>
                <w:webHidden/>
              </w:rPr>
              <w:t>9</w:t>
            </w:r>
            <w:r>
              <w:rPr>
                <w:webHidden/>
              </w:rPr>
              <w:fldChar w:fldCharType="end"/>
            </w:r>
          </w:hyperlink>
        </w:p>
        <w:p w14:paraId="0E56CA8E" w14:textId="3A035295" w:rsidR="00664010" w:rsidRDefault="00664010">
          <w:pPr>
            <w:pStyle w:val="TOC2"/>
            <w:rPr>
              <w:rFonts w:asciiTheme="minorHAnsi" w:eastAsiaTheme="minorEastAsia" w:hAnsiTheme="minorHAnsi" w:cstheme="minorBidi"/>
              <w:kern w:val="2"/>
              <w:sz w:val="24"/>
              <w:szCs w:val="24"/>
              <w14:ligatures w14:val="standardContextual"/>
            </w:rPr>
          </w:pPr>
          <w:hyperlink w:anchor="_Toc225844972" w:history="1">
            <w:r w:rsidRPr="00D319E0">
              <w:rPr>
                <w:rStyle w:val="Hyperlink"/>
              </w:rPr>
              <w:t>2.6</w:t>
            </w:r>
            <w:r>
              <w:rPr>
                <w:rFonts w:asciiTheme="minorHAnsi" w:eastAsiaTheme="minorEastAsia" w:hAnsiTheme="minorHAnsi" w:cstheme="minorBidi"/>
                <w:kern w:val="2"/>
                <w:sz w:val="24"/>
                <w:szCs w:val="24"/>
                <w14:ligatures w14:val="standardContextual"/>
              </w:rPr>
              <w:tab/>
            </w:r>
            <w:r w:rsidRPr="00D319E0">
              <w:rPr>
                <w:rStyle w:val="Hyperlink"/>
              </w:rPr>
              <w:t>Other adjustments</w:t>
            </w:r>
            <w:r>
              <w:rPr>
                <w:webHidden/>
              </w:rPr>
              <w:tab/>
            </w:r>
            <w:r>
              <w:rPr>
                <w:webHidden/>
              </w:rPr>
              <w:fldChar w:fldCharType="begin"/>
            </w:r>
            <w:r>
              <w:rPr>
                <w:webHidden/>
              </w:rPr>
              <w:instrText xml:space="preserve"> PAGEREF _Toc225844972 \h </w:instrText>
            </w:r>
            <w:r>
              <w:rPr>
                <w:webHidden/>
              </w:rPr>
            </w:r>
            <w:r>
              <w:rPr>
                <w:webHidden/>
              </w:rPr>
              <w:fldChar w:fldCharType="separate"/>
            </w:r>
            <w:r>
              <w:rPr>
                <w:webHidden/>
              </w:rPr>
              <w:t>9</w:t>
            </w:r>
            <w:r>
              <w:rPr>
                <w:webHidden/>
              </w:rPr>
              <w:fldChar w:fldCharType="end"/>
            </w:r>
          </w:hyperlink>
        </w:p>
        <w:p w14:paraId="32A54FBA" w14:textId="5B76D1AA" w:rsidR="00664010" w:rsidRDefault="00664010">
          <w:pPr>
            <w:pStyle w:val="TOC2"/>
            <w:rPr>
              <w:rFonts w:asciiTheme="minorHAnsi" w:eastAsiaTheme="minorEastAsia" w:hAnsiTheme="minorHAnsi" w:cstheme="minorBidi"/>
              <w:kern w:val="2"/>
              <w:sz w:val="24"/>
              <w:szCs w:val="24"/>
              <w14:ligatures w14:val="standardContextual"/>
            </w:rPr>
          </w:pPr>
          <w:hyperlink w:anchor="_Toc225844973" w:history="1">
            <w:r w:rsidRPr="00D319E0">
              <w:rPr>
                <w:rStyle w:val="Hyperlink"/>
              </w:rPr>
              <w:t>2.7</w:t>
            </w:r>
            <w:r>
              <w:rPr>
                <w:rFonts w:asciiTheme="minorHAnsi" w:eastAsiaTheme="minorEastAsia" w:hAnsiTheme="minorHAnsi" w:cstheme="minorBidi"/>
                <w:kern w:val="2"/>
                <w:sz w:val="24"/>
                <w:szCs w:val="24"/>
                <w14:ligatures w14:val="standardContextual"/>
              </w:rPr>
              <w:tab/>
            </w:r>
            <w:r w:rsidRPr="00D319E0">
              <w:rPr>
                <w:rStyle w:val="Hyperlink"/>
              </w:rPr>
              <w:t>Comments</w:t>
            </w:r>
            <w:r>
              <w:rPr>
                <w:webHidden/>
              </w:rPr>
              <w:tab/>
            </w:r>
            <w:r>
              <w:rPr>
                <w:webHidden/>
              </w:rPr>
              <w:fldChar w:fldCharType="begin"/>
            </w:r>
            <w:r>
              <w:rPr>
                <w:webHidden/>
              </w:rPr>
              <w:instrText xml:space="preserve"> PAGEREF _Toc225844973 \h </w:instrText>
            </w:r>
            <w:r>
              <w:rPr>
                <w:webHidden/>
              </w:rPr>
            </w:r>
            <w:r>
              <w:rPr>
                <w:webHidden/>
              </w:rPr>
              <w:fldChar w:fldCharType="separate"/>
            </w:r>
            <w:r>
              <w:rPr>
                <w:webHidden/>
              </w:rPr>
              <w:t>9</w:t>
            </w:r>
            <w:r>
              <w:rPr>
                <w:webHidden/>
              </w:rPr>
              <w:fldChar w:fldCharType="end"/>
            </w:r>
          </w:hyperlink>
        </w:p>
        <w:p w14:paraId="0AF05782" w14:textId="21E1A945" w:rsidR="00664010" w:rsidRDefault="00664010">
          <w:pPr>
            <w:pStyle w:val="TOC2"/>
            <w:rPr>
              <w:rFonts w:asciiTheme="minorHAnsi" w:eastAsiaTheme="minorEastAsia" w:hAnsiTheme="minorHAnsi" w:cstheme="minorBidi"/>
              <w:kern w:val="2"/>
              <w:sz w:val="24"/>
              <w:szCs w:val="24"/>
              <w14:ligatures w14:val="standardContextual"/>
            </w:rPr>
          </w:pPr>
          <w:hyperlink w:anchor="_Toc225844974" w:history="1">
            <w:r w:rsidRPr="00D319E0">
              <w:rPr>
                <w:rStyle w:val="Hyperlink"/>
              </w:rPr>
              <w:t>2.8</w:t>
            </w:r>
            <w:r>
              <w:rPr>
                <w:rFonts w:asciiTheme="minorHAnsi" w:eastAsiaTheme="minorEastAsia" w:hAnsiTheme="minorHAnsi" w:cstheme="minorBidi"/>
                <w:kern w:val="2"/>
                <w:sz w:val="24"/>
                <w:szCs w:val="24"/>
                <w14:ligatures w14:val="standardContextual"/>
              </w:rPr>
              <w:tab/>
            </w:r>
            <w:r w:rsidRPr="00D319E0">
              <w:rPr>
                <w:rStyle w:val="Hyperlink"/>
              </w:rPr>
              <w:t>Members providing capital (Funds in Syndicate (FIS))</w:t>
            </w:r>
            <w:r>
              <w:rPr>
                <w:webHidden/>
              </w:rPr>
              <w:tab/>
            </w:r>
            <w:r>
              <w:rPr>
                <w:webHidden/>
              </w:rPr>
              <w:fldChar w:fldCharType="begin"/>
            </w:r>
            <w:r>
              <w:rPr>
                <w:webHidden/>
              </w:rPr>
              <w:instrText xml:space="preserve"> PAGEREF _Toc225844974 \h </w:instrText>
            </w:r>
            <w:r>
              <w:rPr>
                <w:webHidden/>
              </w:rPr>
            </w:r>
            <w:r>
              <w:rPr>
                <w:webHidden/>
              </w:rPr>
              <w:fldChar w:fldCharType="separate"/>
            </w:r>
            <w:r>
              <w:rPr>
                <w:webHidden/>
              </w:rPr>
              <w:t>10</w:t>
            </w:r>
            <w:r>
              <w:rPr>
                <w:webHidden/>
              </w:rPr>
              <w:fldChar w:fldCharType="end"/>
            </w:r>
          </w:hyperlink>
        </w:p>
        <w:p w14:paraId="4159CDE6" w14:textId="2D1C490F" w:rsidR="00664010" w:rsidRDefault="00664010">
          <w:pPr>
            <w:pStyle w:val="TOC1"/>
            <w:rPr>
              <w:rFonts w:asciiTheme="minorHAnsi" w:eastAsiaTheme="minorEastAsia" w:hAnsiTheme="minorHAnsi" w:cstheme="minorBidi"/>
              <w:b w:val="0"/>
              <w:kern w:val="2"/>
              <w:sz w:val="24"/>
              <w:szCs w:val="24"/>
              <w14:ligatures w14:val="standardContextual"/>
            </w:rPr>
          </w:pPr>
          <w:hyperlink w:anchor="_Toc225844975" w:history="1">
            <w:r w:rsidRPr="00D319E0">
              <w:rPr>
                <w:rStyle w:val="Hyperlink"/>
                <w:rFonts w:cstheme="majorHAnsi"/>
                <w:bCs/>
              </w:rPr>
              <w:t>3</w:t>
            </w:r>
            <w:r>
              <w:rPr>
                <w:rFonts w:asciiTheme="minorHAnsi" w:eastAsiaTheme="minorEastAsia" w:hAnsiTheme="minorHAnsi" w:cstheme="minorBidi"/>
                <w:b w:val="0"/>
                <w:kern w:val="2"/>
                <w:sz w:val="24"/>
                <w:szCs w:val="24"/>
                <w14:ligatures w14:val="standardContextual"/>
              </w:rPr>
              <w:tab/>
            </w:r>
            <w:r w:rsidRPr="00D319E0">
              <w:rPr>
                <w:rStyle w:val="Hyperlink"/>
              </w:rPr>
              <w:t>Submission</w:t>
            </w:r>
            <w:r>
              <w:rPr>
                <w:webHidden/>
              </w:rPr>
              <w:tab/>
            </w:r>
            <w:r>
              <w:rPr>
                <w:webHidden/>
              </w:rPr>
              <w:fldChar w:fldCharType="begin"/>
            </w:r>
            <w:r>
              <w:rPr>
                <w:webHidden/>
              </w:rPr>
              <w:instrText xml:space="preserve"> PAGEREF _Toc225844975 \h </w:instrText>
            </w:r>
            <w:r>
              <w:rPr>
                <w:webHidden/>
              </w:rPr>
            </w:r>
            <w:r>
              <w:rPr>
                <w:webHidden/>
              </w:rPr>
              <w:fldChar w:fldCharType="separate"/>
            </w:r>
            <w:r>
              <w:rPr>
                <w:webHidden/>
              </w:rPr>
              <w:t>10</w:t>
            </w:r>
            <w:r>
              <w:rPr>
                <w:webHidden/>
              </w:rPr>
              <w:fldChar w:fldCharType="end"/>
            </w:r>
          </w:hyperlink>
        </w:p>
        <w:p w14:paraId="2D3CC8D2" w14:textId="718C8CBE" w:rsidR="00664010" w:rsidRDefault="00664010">
          <w:pPr>
            <w:pStyle w:val="TOC2"/>
            <w:rPr>
              <w:rFonts w:asciiTheme="minorHAnsi" w:eastAsiaTheme="minorEastAsia" w:hAnsiTheme="minorHAnsi" w:cstheme="minorBidi"/>
              <w:kern w:val="2"/>
              <w:sz w:val="24"/>
              <w:szCs w:val="24"/>
              <w14:ligatures w14:val="standardContextual"/>
            </w:rPr>
          </w:pPr>
          <w:hyperlink w:anchor="_Toc225844976" w:history="1">
            <w:r w:rsidRPr="00D319E0">
              <w:rPr>
                <w:rStyle w:val="Hyperlink"/>
              </w:rPr>
              <w:t>3.1</w:t>
            </w:r>
            <w:r>
              <w:rPr>
                <w:rFonts w:asciiTheme="minorHAnsi" w:eastAsiaTheme="minorEastAsia" w:hAnsiTheme="minorHAnsi" w:cstheme="minorBidi"/>
                <w:kern w:val="2"/>
                <w:sz w:val="24"/>
                <w:szCs w:val="24"/>
                <w14:ligatures w14:val="standardContextual"/>
              </w:rPr>
              <w:tab/>
            </w:r>
            <w:r w:rsidRPr="00D319E0">
              <w:rPr>
                <w:rStyle w:val="Hyperlink"/>
              </w:rPr>
              <w:t>Submission portal</w:t>
            </w:r>
            <w:r>
              <w:rPr>
                <w:webHidden/>
              </w:rPr>
              <w:tab/>
            </w:r>
            <w:r>
              <w:rPr>
                <w:webHidden/>
              </w:rPr>
              <w:fldChar w:fldCharType="begin"/>
            </w:r>
            <w:r>
              <w:rPr>
                <w:webHidden/>
              </w:rPr>
              <w:instrText xml:space="preserve"> PAGEREF _Toc225844976 \h </w:instrText>
            </w:r>
            <w:r>
              <w:rPr>
                <w:webHidden/>
              </w:rPr>
            </w:r>
            <w:r>
              <w:rPr>
                <w:webHidden/>
              </w:rPr>
              <w:fldChar w:fldCharType="separate"/>
            </w:r>
            <w:r>
              <w:rPr>
                <w:webHidden/>
              </w:rPr>
              <w:t>10</w:t>
            </w:r>
            <w:r>
              <w:rPr>
                <w:webHidden/>
              </w:rPr>
              <w:fldChar w:fldCharType="end"/>
            </w:r>
          </w:hyperlink>
        </w:p>
        <w:p w14:paraId="0FF0F915" w14:textId="7CDB85F5" w:rsidR="00664010" w:rsidRDefault="00664010">
          <w:pPr>
            <w:pStyle w:val="TOC2"/>
            <w:rPr>
              <w:rFonts w:asciiTheme="minorHAnsi" w:eastAsiaTheme="minorEastAsia" w:hAnsiTheme="minorHAnsi" w:cstheme="minorBidi"/>
              <w:kern w:val="2"/>
              <w:sz w:val="24"/>
              <w:szCs w:val="24"/>
              <w14:ligatures w14:val="standardContextual"/>
            </w:rPr>
          </w:pPr>
          <w:hyperlink w:anchor="_Toc225844977" w:history="1">
            <w:r w:rsidRPr="00D319E0">
              <w:rPr>
                <w:rStyle w:val="Hyperlink"/>
              </w:rPr>
              <w:t>3.2</w:t>
            </w:r>
            <w:r>
              <w:rPr>
                <w:rFonts w:asciiTheme="minorHAnsi" w:eastAsiaTheme="minorEastAsia" w:hAnsiTheme="minorHAnsi" w:cstheme="minorBidi"/>
                <w:kern w:val="2"/>
                <w:sz w:val="24"/>
                <w:szCs w:val="24"/>
                <w14:ligatures w14:val="standardContextual"/>
              </w:rPr>
              <w:tab/>
            </w:r>
            <w:r w:rsidRPr="00D319E0">
              <w:rPr>
                <w:rStyle w:val="Hyperlink"/>
              </w:rPr>
              <w:t>Validations</w:t>
            </w:r>
            <w:r>
              <w:rPr>
                <w:webHidden/>
              </w:rPr>
              <w:tab/>
            </w:r>
            <w:r>
              <w:rPr>
                <w:webHidden/>
              </w:rPr>
              <w:fldChar w:fldCharType="begin"/>
            </w:r>
            <w:r>
              <w:rPr>
                <w:webHidden/>
              </w:rPr>
              <w:instrText xml:space="preserve"> PAGEREF _Toc225844977 \h </w:instrText>
            </w:r>
            <w:r>
              <w:rPr>
                <w:webHidden/>
              </w:rPr>
            </w:r>
            <w:r>
              <w:rPr>
                <w:webHidden/>
              </w:rPr>
              <w:fldChar w:fldCharType="separate"/>
            </w:r>
            <w:r>
              <w:rPr>
                <w:webHidden/>
              </w:rPr>
              <w:t>11</w:t>
            </w:r>
            <w:r>
              <w:rPr>
                <w:webHidden/>
              </w:rPr>
              <w:fldChar w:fldCharType="end"/>
            </w:r>
          </w:hyperlink>
        </w:p>
        <w:p w14:paraId="2A905779" w14:textId="2F25EA3F" w:rsidR="00664010" w:rsidRDefault="00664010">
          <w:pPr>
            <w:pStyle w:val="TOC2"/>
            <w:rPr>
              <w:rFonts w:asciiTheme="minorHAnsi" w:eastAsiaTheme="minorEastAsia" w:hAnsiTheme="minorHAnsi" w:cstheme="minorBidi"/>
              <w:kern w:val="2"/>
              <w:sz w:val="24"/>
              <w:szCs w:val="24"/>
              <w14:ligatures w14:val="standardContextual"/>
            </w:rPr>
          </w:pPr>
          <w:hyperlink w:anchor="_Toc225844978" w:history="1">
            <w:r w:rsidRPr="00D319E0">
              <w:rPr>
                <w:rStyle w:val="Hyperlink"/>
              </w:rPr>
              <w:t>3.3</w:t>
            </w:r>
            <w:r>
              <w:rPr>
                <w:rFonts w:asciiTheme="minorHAnsi" w:eastAsiaTheme="minorEastAsia" w:hAnsiTheme="minorHAnsi" w:cstheme="minorBidi"/>
                <w:kern w:val="2"/>
                <w:sz w:val="24"/>
                <w:szCs w:val="24"/>
                <w14:ligatures w14:val="standardContextual"/>
              </w:rPr>
              <w:tab/>
            </w:r>
            <w:r w:rsidRPr="00D319E0">
              <w:rPr>
                <w:rStyle w:val="Hyperlink"/>
              </w:rPr>
              <w:t>Resubmission</w:t>
            </w:r>
            <w:r>
              <w:rPr>
                <w:webHidden/>
              </w:rPr>
              <w:tab/>
            </w:r>
            <w:r>
              <w:rPr>
                <w:webHidden/>
              </w:rPr>
              <w:fldChar w:fldCharType="begin"/>
            </w:r>
            <w:r>
              <w:rPr>
                <w:webHidden/>
              </w:rPr>
              <w:instrText xml:space="preserve"> PAGEREF _Toc225844978 \h </w:instrText>
            </w:r>
            <w:r>
              <w:rPr>
                <w:webHidden/>
              </w:rPr>
            </w:r>
            <w:r>
              <w:rPr>
                <w:webHidden/>
              </w:rPr>
              <w:fldChar w:fldCharType="separate"/>
            </w:r>
            <w:r>
              <w:rPr>
                <w:webHidden/>
              </w:rPr>
              <w:t>11</w:t>
            </w:r>
            <w:r>
              <w:rPr>
                <w:webHidden/>
              </w:rPr>
              <w:fldChar w:fldCharType="end"/>
            </w:r>
          </w:hyperlink>
        </w:p>
        <w:p w14:paraId="7E788350" w14:textId="55661F8D" w:rsidR="00664010" w:rsidRDefault="00664010">
          <w:pPr>
            <w:pStyle w:val="TOC1"/>
            <w:rPr>
              <w:rFonts w:asciiTheme="minorHAnsi" w:eastAsiaTheme="minorEastAsia" w:hAnsiTheme="minorHAnsi" w:cstheme="minorBidi"/>
              <w:b w:val="0"/>
              <w:kern w:val="2"/>
              <w:sz w:val="24"/>
              <w:szCs w:val="24"/>
              <w14:ligatures w14:val="standardContextual"/>
            </w:rPr>
          </w:pPr>
          <w:hyperlink w:anchor="_Toc225844979" w:history="1">
            <w:r w:rsidRPr="00D319E0">
              <w:rPr>
                <w:rStyle w:val="Hyperlink"/>
                <w:rFonts w:cstheme="majorHAnsi"/>
                <w:bCs/>
              </w:rPr>
              <w:t>4</w:t>
            </w:r>
            <w:r>
              <w:rPr>
                <w:rFonts w:asciiTheme="minorHAnsi" w:eastAsiaTheme="minorEastAsia" w:hAnsiTheme="minorHAnsi" w:cstheme="minorBidi"/>
                <w:b w:val="0"/>
                <w:kern w:val="2"/>
                <w:sz w:val="24"/>
                <w:szCs w:val="24"/>
                <w14:ligatures w14:val="standardContextual"/>
              </w:rPr>
              <w:tab/>
            </w:r>
            <w:r w:rsidRPr="00D319E0">
              <w:rPr>
                <w:rStyle w:val="Hyperlink"/>
              </w:rPr>
              <w:t>Managing Agent Report</w:t>
            </w:r>
            <w:r>
              <w:rPr>
                <w:webHidden/>
              </w:rPr>
              <w:tab/>
            </w:r>
            <w:r>
              <w:rPr>
                <w:webHidden/>
              </w:rPr>
              <w:fldChar w:fldCharType="begin"/>
            </w:r>
            <w:r>
              <w:rPr>
                <w:webHidden/>
              </w:rPr>
              <w:instrText xml:space="preserve"> PAGEREF _Toc225844979 \h </w:instrText>
            </w:r>
            <w:r>
              <w:rPr>
                <w:webHidden/>
              </w:rPr>
            </w:r>
            <w:r>
              <w:rPr>
                <w:webHidden/>
              </w:rPr>
              <w:fldChar w:fldCharType="separate"/>
            </w:r>
            <w:r>
              <w:rPr>
                <w:webHidden/>
              </w:rPr>
              <w:t>11</w:t>
            </w:r>
            <w:r>
              <w:rPr>
                <w:webHidden/>
              </w:rPr>
              <w:fldChar w:fldCharType="end"/>
            </w:r>
          </w:hyperlink>
        </w:p>
        <w:p w14:paraId="70528367" w14:textId="13702C5C" w:rsidR="00664010" w:rsidRDefault="00664010">
          <w:pPr>
            <w:pStyle w:val="TOC2"/>
            <w:rPr>
              <w:rFonts w:asciiTheme="minorHAnsi" w:eastAsiaTheme="minorEastAsia" w:hAnsiTheme="minorHAnsi" w:cstheme="minorBidi"/>
              <w:kern w:val="2"/>
              <w:sz w:val="24"/>
              <w:szCs w:val="24"/>
              <w14:ligatures w14:val="standardContextual"/>
            </w:rPr>
          </w:pPr>
          <w:hyperlink w:anchor="_Toc225844980" w:history="1">
            <w:r w:rsidRPr="00D319E0">
              <w:rPr>
                <w:rStyle w:val="Hyperlink"/>
              </w:rPr>
              <w:t>4.1</w:t>
            </w:r>
            <w:r>
              <w:rPr>
                <w:rFonts w:asciiTheme="minorHAnsi" w:eastAsiaTheme="minorEastAsia" w:hAnsiTheme="minorHAnsi" w:cstheme="minorBidi"/>
                <w:kern w:val="2"/>
                <w:sz w:val="24"/>
                <w:szCs w:val="24"/>
                <w14:ligatures w14:val="standardContextual"/>
              </w:rPr>
              <w:tab/>
            </w:r>
            <w:r w:rsidRPr="00D319E0">
              <w:rPr>
                <w:rStyle w:val="Hyperlink"/>
              </w:rPr>
              <w:t>Managing Agent Report format</w:t>
            </w:r>
            <w:r>
              <w:rPr>
                <w:webHidden/>
              </w:rPr>
              <w:tab/>
            </w:r>
            <w:r>
              <w:rPr>
                <w:webHidden/>
              </w:rPr>
              <w:fldChar w:fldCharType="begin"/>
            </w:r>
            <w:r>
              <w:rPr>
                <w:webHidden/>
              </w:rPr>
              <w:instrText xml:space="preserve"> PAGEREF _Toc225844980 \h </w:instrText>
            </w:r>
            <w:r>
              <w:rPr>
                <w:webHidden/>
              </w:rPr>
            </w:r>
            <w:r>
              <w:rPr>
                <w:webHidden/>
              </w:rPr>
              <w:fldChar w:fldCharType="separate"/>
            </w:r>
            <w:r>
              <w:rPr>
                <w:webHidden/>
              </w:rPr>
              <w:t>11</w:t>
            </w:r>
            <w:r>
              <w:rPr>
                <w:webHidden/>
              </w:rPr>
              <w:fldChar w:fldCharType="end"/>
            </w:r>
          </w:hyperlink>
        </w:p>
        <w:p w14:paraId="288803A0" w14:textId="4BBBEA98" w:rsidR="00664010" w:rsidRDefault="00664010">
          <w:pPr>
            <w:pStyle w:val="TOC2"/>
            <w:rPr>
              <w:rFonts w:asciiTheme="minorHAnsi" w:eastAsiaTheme="minorEastAsia" w:hAnsiTheme="minorHAnsi" w:cstheme="minorBidi"/>
              <w:kern w:val="2"/>
              <w:sz w:val="24"/>
              <w:szCs w:val="24"/>
              <w14:ligatures w14:val="standardContextual"/>
            </w:rPr>
          </w:pPr>
          <w:hyperlink w:anchor="_Toc225844981" w:history="1">
            <w:r w:rsidRPr="00D319E0">
              <w:rPr>
                <w:rStyle w:val="Hyperlink"/>
              </w:rPr>
              <w:t>4.2</w:t>
            </w:r>
            <w:r>
              <w:rPr>
                <w:rFonts w:asciiTheme="minorHAnsi" w:eastAsiaTheme="minorEastAsia" w:hAnsiTheme="minorHAnsi" w:cstheme="minorBidi"/>
                <w:kern w:val="2"/>
                <w:sz w:val="24"/>
                <w:szCs w:val="24"/>
                <w14:ligatures w14:val="standardContextual"/>
              </w:rPr>
              <w:tab/>
            </w:r>
            <w:r w:rsidRPr="00D319E0">
              <w:rPr>
                <w:rStyle w:val="Hyperlink"/>
              </w:rPr>
              <w:t>Managing Agent Report submission</w:t>
            </w:r>
            <w:r>
              <w:rPr>
                <w:webHidden/>
              </w:rPr>
              <w:tab/>
            </w:r>
            <w:r>
              <w:rPr>
                <w:webHidden/>
              </w:rPr>
              <w:fldChar w:fldCharType="begin"/>
            </w:r>
            <w:r>
              <w:rPr>
                <w:webHidden/>
              </w:rPr>
              <w:instrText xml:space="preserve"> PAGEREF _Toc225844981 \h </w:instrText>
            </w:r>
            <w:r>
              <w:rPr>
                <w:webHidden/>
              </w:rPr>
            </w:r>
            <w:r>
              <w:rPr>
                <w:webHidden/>
              </w:rPr>
              <w:fldChar w:fldCharType="separate"/>
            </w:r>
            <w:r>
              <w:rPr>
                <w:webHidden/>
              </w:rPr>
              <w:t>11</w:t>
            </w:r>
            <w:r>
              <w:rPr>
                <w:webHidden/>
              </w:rPr>
              <w:fldChar w:fldCharType="end"/>
            </w:r>
          </w:hyperlink>
        </w:p>
        <w:p w14:paraId="04FFD8AF" w14:textId="0A4A1B94" w:rsidR="00664010" w:rsidRDefault="00664010">
          <w:pPr>
            <w:pStyle w:val="TOC1"/>
            <w:rPr>
              <w:rFonts w:asciiTheme="minorHAnsi" w:eastAsiaTheme="minorEastAsia" w:hAnsiTheme="minorHAnsi" w:cstheme="minorBidi"/>
              <w:b w:val="0"/>
              <w:kern w:val="2"/>
              <w:sz w:val="24"/>
              <w:szCs w:val="24"/>
              <w14:ligatures w14:val="standardContextual"/>
            </w:rPr>
          </w:pPr>
          <w:hyperlink w:anchor="_Toc225844982" w:history="1">
            <w:r w:rsidRPr="00D319E0">
              <w:rPr>
                <w:rStyle w:val="Hyperlink"/>
                <w:rFonts w:cstheme="majorHAnsi"/>
                <w:bCs/>
              </w:rPr>
              <w:t>5</w:t>
            </w:r>
            <w:r>
              <w:rPr>
                <w:rFonts w:asciiTheme="minorHAnsi" w:eastAsiaTheme="minorEastAsia" w:hAnsiTheme="minorHAnsi" w:cstheme="minorBidi"/>
                <w:b w:val="0"/>
                <w:kern w:val="2"/>
                <w:sz w:val="24"/>
                <w:szCs w:val="24"/>
                <w14:ligatures w14:val="standardContextual"/>
              </w:rPr>
              <w:tab/>
            </w:r>
            <w:r w:rsidRPr="00D319E0">
              <w:rPr>
                <w:rStyle w:val="Hyperlink"/>
              </w:rPr>
              <w:t>Audit</w:t>
            </w:r>
            <w:r>
              <w:rPr>
                <w:webHidden/>
              </w:rPr>
              <w:tab/>
            </w:r>
            <w:r>
              <w:rPr>
                <w:webHidden/>
              </w:rPr>
              <w:fldChar w:fldCharType="begin"/>
            </w:r>
            <w:r>
              <w:rPr>
                <w:webHidden/>
              </w:rPr>
              <w:instrText xml:space="preserve"> PAGEREF _Toc225844982 \h </w:instrText>
            </w:r>
            <w:r>
              <w:rPr>
                <w:webHidden/>
              </w:rPr>
            </w:r>
            <w:r>
              <w:rPr>
                <w:webHidden/>
              </w:rPr>
              <w:fldChar w:fldCharType="separate"/>
            </w:r>
            <w:r>
              <w:rPr>
                <w:webHidden/>
              </w:rPr>
              <w:t>12</w:t>
            </w:r>
            <w:r>
              <w:rPr>
                <w:webHidden/>
              </w:rPr>
              <w:fldChar w:fldCharType="end"/>
            </w:r>
          </w:hyperlink>
        </w:p>
        <w:p w14:paraId="662876F5" w14:textId="168A9D8F" w:rsidR="00664010" w:rsidRDefault="00664010">
          <w:pPr>
            <w:pStyle w:val="TOC2"/>
            <w:rPr>
              <w:rFonts w:asciiTheme="minorHAnsi" w:eastAsiaTheme="minorEastAsia" w:hAnsiTheme="minorHAnsi" w:cstheme="minorBidi"/>
              <w:kern w:val="2"/>
              <w:sz w:val="24"/>
              <w:szCs w:val="24"/>
              <w14:ligatures w14:val="standardContextual"/>
            </w:rPr>
          </w:pPr>
          <w:hyperlink w:anchor="_Toc225844983" w:history="1">
            <w:r w:rsidRPr="00D319E0">
              <w:rPr>
                <w:rStyle w:val="Hyperlink"/>
              </w:rPr>
              <w:t>5.1</w:t>
            </w:r>
            <w:r>
              <w:rPr>
                <w:rFonts w:asciiTheme="minorHAnsi" w:eastAsiaTheme="minorEastAsia" w:hAnsiTheme="minorHAnsi" w:cstheme="minorBidi"/>
                <w:kern w:val="2"/>
                <w:sz w:val="24"/>
                <w:szCs w:val="24"/>
                <w14:ligatures w14:val="standardContextual"/>
              </w:rPr>
              <w:tab/>
            </w:r>
            <w:r w:rsidRPr="00D319E0">
              <w:rPr>
                <w:rStyle w:val="Hyperlink"/>
              </w:rPr>
              <w:t>Audit requirements</w:t>
            </w:r>
            <w:r>
              <w:rPr>
                <w:webHidden/>
              </w:rPr>
              <w:tab/>
            </w:r>
            <w:r>
              <w:rPr>
                <w:webHidden/>
              </w:rPr>
              <w:fldChar w:fldCharType="begin"/>
            </w:r>
            <w:r>
              <w:rPr>
                <w:webHidden/>
              </w:rPr>
              <w:instrText xml:space="preserve"> PAGEREF _Toc225844983 \h </w:instrText>
            </w:r>
            <w:r>
              <w:rPr>
                <w:webHidden/>
              </w:rPr>
            </w:r>
            <w:r>
              <w:rPr>
                <w:webHidden/>
              </w:rPr>
              <w:fldChar w:fldCharType="separate"/>
            </w:r>
            <w:r>
              <w:rPr>
                <w:webHidden/>
              </w:rPr>
              <w:t>12</w:t>
            </w:r>
            <w:r>
              <w:rPr>
                <w:webHidden/>
              </w:rPr>
              <w:fldChar w:fldCharType="end"/>
            </w:r>
          </w:hyperlink>
        </w:p>
        <w:p w14:paraId="3968767D" w14:textId="33B16310" w:rsidR="00664010" w:rsidRDefault="00664010">
          <w:pPr>
            <w:pStyle w:val="TOC1"/>
            <w:rPr>
              <w:rFonts w:asciiTheme="minorHAnsi" w:eastAsiaTheme="minorEastAsia" w:hAnsiTheme="minorHAnsi" w:cstheme="minorBidi"/>
              <w:b w:val="0"/>
              <w:kern w:val="2"/>
              <w:sz w:val="24"/>
              <w:szCs w:val="24"/>
              <w14:ligatures w14:val="standardContextual"/>
            </w:rPr>
          </w:pPr>
          <w:hyperlink w:anchor="_Toc225844985" w:history="1">
            <w:r w:rsidRPr="00D319E0">
              <w:rPr>
                <w:rStyle w:val="Hyperlink"/>
                <w:rFonts w:cstheme="majorHAnsi"/>
                <w:bCs/>
              </w:rPr>
              <w:t>6</w:t>
            </w:r>
            <w:r>
              <w:rPr>
                <w:rFonts w:asciiTheme="minorHAnsi" w:eastAsiaTheme="minorEastAsia" w:hAnsiTheme="minorHAnsi" w:cstheme="minorBidi"/>
                <w:b w:val="0"/>
                <w:kern w:val="2"/>
                <w:sz w:val="24"/>
                <w:szCs w:val="24"/>
                <w14:ligatures w14:val="standardContextual"/>
              </w:rPr>
              <w:tab/>
            </w:r>
            <w:r w:rsidRPr="00D319E0">
              <w:rPr>
                <w:rStyle w:val="Hyperlink"/>
              </w:rPr>
              <w:t>Additional Information</w:t>
            </w:r>
            <w:r>
              <w:rPr>
                <w:webHidden/>
              </w:rPr>
              <w:tab/>
            </w:r>
            <w:r>
              <w:rPr>
                <w:webHidden/>
              </w:rPr>
              <w:fldChar w:fldCharType="begin"/>
            </w:r>
            <w:r>
              <w:rPr>
                <w:webHidden/>
              </w:rPr>
              <w:instrText xml:space="preserve"> PAGEREF _Toc225844985 \h </w:instrText>
            </w:r>
            <w:r>
              <w:rPr>
                <w:webHidden/>
              </w:rPr>
            </w:r>
            <w:r>
              <w:rPr>
                <w:webHidden/>
              </w:rPr>
              <w:fldChar w:fldCharType="separate"/>
            </w:r>
            <w:r>
              <w:rPr>
                <w:webHidden/>
              </w:rPr>
              <w:t>12</w:t>
            </w:r>
            <w:r>
              <w:rPr>
                <w:webHidden/>
              </w:rPr>
              <w:fldChar w:fldCharType="end"/>
            </w:r>
          </w:hyperlink>
        </w:p>
        <w:p w14:paraId="779658F2" w14:textId="1B704177" w:rsidR="00664010" w:rsidRDefault="00664010">
          <w:pPr>
            <w:pStyle w:val="TOC2"/>
            <w:rPr>
              <w:rFonts w:asciiTheme="minorHAnsi" w:eastAsiaTheme="minorEastAsia" w:hAnsiTheme="minorHAnsi" w:cstheme="minorBidi"/>
              <w:kern w:val="2"/>
              <w:sz w:val="24"/>
              <w:szCs w:val="24"/>
              <w14:ligatures w14:val="standardContextual"/>
            </w:rPr>
          </w:pPr>
          <w:hyperlink w:anchor="_Toc225844986" w:history="1">
            <w:r w:rsidRPr="00D319E0">
              <w:rPr>
                <w:rStyle w:val="Hyperlink"/>
              </w:rPr>
              <w:t>6.1</w:t>
            </w:r>
            <w:r>
              <w:rPr>
                <w:rFonts w:asciiTheme="minorHAnsi" w:eastAsiaTheme="minorEastAsia" w:hAnsiTheme="minorHAnsi" w:cstheme="minorBidi"/>
                <w:kern w:val="2"/>
                <w:sz w:val="24"/>
                <w:szCs w:val="24"/>
                <w14:ligatures w14:val="standardContextual"/>
              </w:rPr>
              <w:tab/>
            </w:r>
            <w:r w:rsidRPr="00D319E0">
              <w:rPr>
                <w:rStyle w:val="Hyperlink"/>
              </w:rPr>
              <w:t>Open year profit release</w:t>
            </w:r>
            <w:r>
              <w:rPr>
                <w:webHidden/>
              </w:rPr>
              <w:tab/>
            </w:r>
            <w:r>
              <w:rPr>
                <w:webHidden/>
              </w:rPr>
              <w:fldChar w:fldCharType="begin"/>
            </w:r>
            <w:r>
              <w:rPr>
                <w:webHidden/>
              </w:rPr>
              <w:instrText xml:space="preserve"> PAGEREF _Toc225844986 \h </w:instrText>
            </w:r>
            <w:r>
              <w:rPr>
                <w:webHidden/>
              </w:rPr>
            </w:r>
            <w:r>
              <w:rPr>
                <w:webHidden/>
              </w:rPr>
              <w:fldChar w:fldCharType="separate"/>
            </w:r>
            <w:r>
              <w:rPr>
                <w:webHidden/>
              </w:rPr>
              <w:t>12</w:t>
            </w:r>
            <w:r>
              <w:rPr>
                <w:webHidden/>
              </w:rPr>
              <w:fldChar w:fldCharType="end"/>
            </w:r>
          </w:hyperlink>
        </w:p>
        <w:p w14:paraId="5DDF3D50" w14:textId="68DCD36C" w:rsidR="00664010" w:rsidRDefault="00664010">
          <w:pPr>
            <w:pStyle w:val="TOC2"/>
            <w:rPr>
              <w:rFonts w:asciiTheme="minorHAnsi" w:eastAsiaTheme="minorEastAsia" w:hAnsiTheme="minorHAnsi" w:cstheme="minorBidi"/>
              <w:kern w:val="2"/>
              <w:sz w:val="24"/>
              <w:szCs w:val="24"/>
              <w14:ligatures w14:val="standardContextual"/>
            </w:rPr>
          </w:pPr>
          <w:hyperlink w:anchor="_Toc225844987" w:history="1">
            <w:r w:rsidRPr="00D319E0">
              <w:rPr>
                <w:rStyle w:val="Hyperlink"/>
              </w:rPr>
              <w:t>6.2</w:t>
            </w:r>
            <w:r>
              <w:rPr>
                <w:rFonts w:asciiTheme="minorHAnsi" w:eastAsiaTheme="minorEastAsia" w:hAnsiTheme="minorHAnsi" w:cstheme="minorBidi"/>
                <w:kern w:val="2"/>
                <w:sz w:val="24"/>
                <w:szCs w:val="24"/>
                <w14:ligatures w14:val="standardContextual"/>
              </w:rPr>
              <w:tab/>
            </w:r>
            <w:r w:rsidRPr="00D319E0">
              <w:rPr>
                <w:rStyle w:val="Hyperlink"/>
              </w:rPr>
              <w:t>Timetable</w:t>
            </w:r>
            <w:r>
              <w:rPr>
                <w:webHidden/>
              </w:rPr>
              <w:tab/>
            </w:r>
            <w:r>
              <w:rPr>
                <w:webHidden/>
              </w:rPr>
              <w:fldChar w:fldCharType="begin"/>
            </w:r>
            <w:r>
              <w:rPr>
                <w:webHidden/>
              </w:rPr>
              <w:instrText xml:space="preserve"> PAGEREF _Toc225844987 \h </w:instrText>
            </w:r>
            <w:r>
              <w:rPr>
                <w:webHidden/>
              </w:rPr>
            </w:r>
            <w:r>
              <w:rPr>
                <w:webHidden/>
              </w:rPr>
              <w:fldChar w:fldCharType="separate"/>
            </w:r>
            <w:r>
              <w:rPr>
                <w:webHidden/>
              </w:rPr>
              <w:t>12</w:t>
            </w:r>
            <w:r>
              <w:rPr>
                <w:webHidden/>
              </w:rPr>
              <w:fldChar w:fldCharType="end"/>
            </w:r>
          </w:hyperlink>
        </w:p>
        <w:p w14:paraId="58401A93" w14:textId="1122B7A9" w:rsidR="00664010" w:rsidRDefault="00664010">
          <w:pPr>
            <w:pStyle w:val="TOC2"/>
            <w:rPr>
              <w:rFonts w:asciiTheme="minorHAnsi" w:eastAsiaTheme="minorEastAsia" w:hAnsiTheme="minorHAnsi" w:cstheme="minorBidi"/>
              <w:kern w:val="2"/>
              <w:sz w:val="24"/>
              <w:szCs w:val="24"/>
              <w14:ligatures w14:val="standardContextual"/>
            </w:rPr>
          </w:pPr>
          <w:hyperlink w:anchor="_Toc225844988" w:history="1">
            <w:r w:rsidRPr="00D319E0">
              <w:rPr>
                <w:rStyle w:val="Hyperlink"/>
              </w:rPr>
              <w:t>6.3</w:t>
            </w:r>
            <w:r>
              <w:rPr>
                <w:rFonts w:asciiTheme="minorHAnsi" w:eastAsiaTheme="minorEastAsia" w:hAnsiTheme="minorHAnsi" w:cstheme="minorBidi"/>
                <w:kern w:val="2"/>
                <w:sz w:val="24"/>
                <w:szCs w:val="24"/>
                <w14:ligatures w14:val="standardContextual"/>
              </w:rPr>
              <w:tab/>
            </w:r>
            <w:r w:rsidRPr="00D319E0">
              <w:rPr>
                <w:rStyle w:val="Hyperlink"/>
              </w:rPr>
              <w:t>Late submissions</w:t>
            </w:r>
            <w:r>
              <w:rPr>
                <w:webHidden/>
              </w:rPr>
              <w:tab/>
            </w:r>
            <w:r>
              <w:rPr>
                <w:webHidden/>
              </w:rPr>
              <w:fldChar w:fldCharType="begin"/>
            </w:r>
            <w:r>
              <w:rPr>
                <w:webHidden/>
              </w:rPr>
              <w:instrText xml:space="preserve"> PAGEREF _Toc225844988 \h </w:instrText>
            </w:r>
            <w:r>
              <w:rPr>
                <w:webHidden/>
              </w:rPr>
            </w:r>
            <w:r>
              <w:rPr>
                <w:webHidden/>
              </w:rPr>
              <w:fldChar w:fldCharType="separate"/>
            </w:r>
            <w:r>
              <w:rPr>
                <w:webHidden/>
              </w:rPr>
              <w:t>12</w:t>
            </w:r>
            <w:r>
              <w:rPr>
                <w:webHidden/>
              </w:rPr>
              <w:fldChar w:fldCharType="end"/>
            </w:r>
          </w:hyperlink>
        </w:p>
        <w:p w14:paraId="2E48648D" w14:textId="3B281AB8" w:rsidR="00664010" w:rsidRDefault="00664010">
          <w:pPr>
            <w:pStyle w:val="TOC2"/>
            <w:rPr>
              <w:rFonts w:asciiTheme="minorHAnsi" w:eastAsiaTheme="minorEastAsia" w:hAnsiTheme="minorHAnsi" w:cstheme="minorBidi"/>
              <w:kern w:val="2"/>
              <w:sz w:val="24"/>
              <w:szCs w:val="24"/>
              <w14:ligatures w14:val="standardContextual"/>
            </w:rPr>
          </w:pPr>
          <w:hyperlink w:anchor="_Toc225844989" w:history="1">
            <w:r w:rsidRPr="00D319E0">
              <w:rPr>
                <w:rStyle w:val="Hyperlink"/>
              </w:rPr>
              <w:t>6.4</w:t>
            </w:r>
            <w:r>
              <w:rPr>
                <w:rFonts w:asciiTheme="minorHAnsi" w:eastAsiaTheme="minorEastAsia" w:hAnsiTheme="minorHAnsi" w:cstheme="minorBidi"/>
                <w:kern w:val="2"/>
                <w:sz w:val="24"/>
                <w:szCs w:val="24"/>
                <w14:ligatures w14:val="standardContextual"/>
              </w:rPr>
              <w:tab/>
            </w:r>
            <w:r w:rsidRPr="00D319E0">
              <w:rPr>
                <w:rStyle w:val="Hyperlink"/>
              </w:rPr>
              <w:t>Key contacts</w:t>
            </w:r>
            <w:r>
              <w:rPr>
                <w:webHidden/>
              </w:rPr>
              <w:tab/>
            </w:r>
            <w:r>
              <w:rPr>
                <w:webHidden/>
              </w:rPr>
              <w:fldChar w:fldCharType="begin"/>
            </w:r>
            <w:r>
              <w:rPr>
                <w:webHidden/>
              </w:rPr>
              <w:instrText xml:space="preserve"> PAGEREF _Toc225844989 \h </w:instrText>
            </w:r>
            <w:r>
              <w:rPr>
                <w:webHidden/>
              </w:rPr>
            </w:r>
            <w:r>
              <w:rPr>
                <w:webHidden/>
              </w:rPr>
              <w:fldChar w:fldCharType="separate"/>
            </w:r>
            <w:r>
              <w:rPr>
                <w:webHidden/>
              </w:rPr>
              <w:t>12</w:t>
            </w:r>
            <w:r>
              <w:rPr>
                <w:webHidden/>
              </w:rPr>
              <w:fldChar w:fldCharType="end"/>
            </w:r>
          </w:hyperlink>
        </w:p>
        <w:p w14:paraId="2A464553" w14:textId="6BB23B13" w:rsidR="00664010" w:rsidRDefault="00664010">
          <w:pPr>
            <w:pStyle w:val="TOC2"/>
            <w:rPr>
              <w:rFonts w:asciiTheme="minorHAnsi" w:eastAsiaTheme="minorEastAsia" w:hAnsiTheme="minorHAnsi" w:cstheme="minorBidi"/>
              <w:kern w:val="2"/>
              <w:sz w:val="24"/>
              <w:szCs w:val="24"/>
              <w14:ligatures w14:val="standardContextual"/>
            </w:rPr>
          </w:pPr>
          <w:hyperlink w:anchor="_Toc225844990" w:history="1">
            <w:r w:rsidRPr="00D319E0">
              <w:rPr>
                <w:rStyle w:val="Hyperlink"/>
              </w:rPr>
              <w:t>6.5</w:t>
            </w:r>
            <w:r>
              <w:rPr>
                <w:rFonts w:asciiTheme="minorHAnsi" w:eastAsiaTheme="minorEastAsia" w:hAnsiTheme="minorHAnsi" w:cstheme="minorBidi"/>
                <w:kern w:val="2"/>
                <w:sz w:val="24"/>
                <w:szCs w:val="24"/>
                <w14:ligatures w14:val="standardContextual"/>
              </w:rPr>
              <w:tab/>
            </w:r>
            <w:r w:rsidRPr="00D319E0">
              <w:rPr>
                <w:rStyle w:val="Hyperlink"/>
              </w:rPr>
              <w:t>FAQs</w:t>
            </w:r>
            <w:r>
              <w:rPr>
                <w:webHidden/>
              </w:rPr>
              <w:tab/>
            </w:r>
            <w:r>
              <w:rPr>
                <w:webHidden/>
              </w:rPr>
              <w:fldChar w:fldCharType="begin"/>
            </w:r>
            <w:r>
              <w:rPr>
                <w:webHidden/>
              </w:rPr>
              <w:instrText xml:space="preserve"> PAGEREF _Toc225844990 \h </w:instrText>
            </w:r>
            <w:r>
              <w:rPr>
                <w:webHidden/>
              </w:rPr>
            </w:r>
            <w:r>
              <w:rPr>
                <w:webHidden/>
              </w:rPr>
              <w:fldChar w:fldCharType="separate"/>
            </w:r>
            <w:r>
              <w:rPr>
                <w:webHidden/>
              </w:rPr>
              <w:t>13</w:t>
            </w:r>
            <w:r>
              <w:rPr>
                <w:webHidden/>
              </w:rPr>
              <w:fldChar w:fldCharType="end"/>
            </w:r>
          </w:hyperlink>
        </w:p>
        <w:p w14:paraId="64DE3B4B" w14:textId="6EA87DAE" w:rsidR="00664010" w:rsidRDefault="00664010">
          <w:pPr>
            <w:pStyle w:val="TOC1"/>
            <w:rPr>
              <w:rFonts w:asciiTheme="minorHAnsi" w:eastAsiaTheme="minorEastAsia" w:hAnsiTheme="minorHAnsi" w:cstheme="minorBidi"/>
              <w:b w:val="0"/>
              <w:kern w:val="2"/>
              <w:sz w:val="24"/>
              <w:szCs w:val="24"/>
              <w14:ligatures w14:val="standardContextual"/>
            </w:rPr>
          </w:pPr>
          <w:hyperlink w:anchor="_Toc225844991" w:history="1">
            <w:r w:rsidRPr="00D319E0">
              <w:rPr>
                <w:rStyle w:val="Hyperlink"/>
              </w:rPr>
              <w:t>Appendix – Additional Guidance</w:t>
            </w:r>
            <w:r>
              <w:rPr>
                <w:webHidden/>
              </w:rPr>
              <w:tab/>
            </w:r>
            <w:r>
              <w:rPr>
                <w:webHidden/>
              </w:rPr>
              <w:fldChar w:fldCharType="begin"/>
            </w:r>
            <w:r>
              <w:rPr>
                <w:webHidden/>
              </w:rPr>
              <w:instrText xml:space="preserve"> PAGEREF _Toc225844991 \h </w:instrText>
            </w:r>
            <w:r>
              <w:rPr>
                <w:webHidden/>
              </w:rPr>
            </w:r>
            <w:r>
              <w:rPr>
                <w:webHidden/>
              </w:rPr>
              <w:fldChar w:fldCharType="separate"/>
            </w:r>
            <w:r>
              <w:rPr>
                <w:webHidden/>
              </w:rPr>
              <w:t>14</w:t>
            </w:r>
            <w:r>
              <w:rPr>
                <w:webHidden/>
              </w:rPr>
              <w:fldChar w:fldCharType="end"/>
            </w:r>
          </w:hyperlink>
        </w:p>
        <w:p w14:paraId="3C95AAA7" w14:textId="4D802E04" w:rsidR="00664010" w:rsidRDefault="00664010">
          <w:pPr>
            <w:pStyle w:val="TOC2"/>
            <w:rPr>
              <w:rFonts w:asciiTheme="minorHAnsi" w:eastAsiaTheme="minorEastAsia" w:hAnsiTheme="minorHAnsi" w:cstheme="minorBidi"/>
              <w:kern w:val="2"/>
              <w:sz w:val="24"/>
              <w:szCs w:val="24"/>
              <w14:ligatures w14:val="standardContextual"/>
            </w:rPr>
          </w:pPr>
          <w:hyperlink w:anchor="_Toc225844992" w:history="1">
            <w:r w:rsidRPr="00D319E0">
              <w:rPr>
                <w:rStyle w:val="Hyperlink"/>
              </w:rPr>
              <w:t>Impact of reinsurance contract boundary change</w:t>
            </w:r>
            <w:r>
              <w:rPr>
                <w:webHidden/>
              </w:rPr>
              <w:tab/>
            </w:r>
            <w:r>
              <w:rPr>
                <w:webHidden/>
              </w:rPr>
              <w:fldChar w:fldCharType="begin"/>
            </w:r>
            <w:r>
              <w:rPr>
                <w:webHidden/>
              </w:rPr>
              <w:instrText xml:space="preserve"> PAGEREF _Toc225844992 \h </w:instrText>
            </w:r>
            <w:r>
              <w:rPr>
                <w:webHidden/>
              </w:rPr>
            </w:r>
            <w:r>
              <w:rPr>
                <w:webHidden/>
              </w:rPr>
              <w:fldChar w:fldCharType="separate"/>
            </w:r>
            <w:r>
              <w:rPr>
                <w:webHidden/>
              </w:rPr>
              <w:t>14</w:t>
            </w:r>
            <w:r>
              <w:rPr>
                <w:webHidden/>
              </w:rPr>
              <w:fldChar w:fldCharType="end"/>
            </w:r>
          </w:hyperlink>
        </w:p>
        <w:p w14:paraId="54C08C8D" w14:textId="3E6CF3FA" w:rsidR="00664010" w:rsidRDefault="00664010">
          <w:pPr>
            <w:pStyle w:val="TOC2"/>
            <w:rPr>
              <w:rFonts w:asciiTheme="minorHAnsi" w:eastAsiaTheme="minorEastAsia" w:hAnsiTheme="minorHAnsi" w:cstheme="minorBidi"/>
              <w:kern w:val="2"/>
              <w:sz w:val="24"/>
              <w:szCs w:val="24"/>
              <w14:ligatures w14:val="standardContextual"/>
            </w:rPr>
          </w:pPr>
          <w:hyperlink w:anchor="_Toc225844993" w:history="1">
            <w:r w:rsidRPr="00D319E0">
              <w:rPr>
                <w:rStyle w:val="Hyperlink"/>
              </w:rPr>
              <w:t>Third party reinsurance to close</w:t>
            </w:r>
            <w:r>
              <w:rPr>
                <w:webHidden/>
              </w:rPr>
              <w:tab/>
            </w:r>
            <w:r>
              <w:rPr>
                <w:webHidden/>
              </w:rPr>
              <w:fldChar w:fldCharType="begin"/>
            </w:r>
            <w:r>
              <w:rPr>
                <w:webHidden/>
              </w:rPr>
              <w:instrText xml:space="preserve"> PAGEREF _Toc225844993 \h </w:instrText>
            </w:r>
            <w:r>
              <w:rPr>
                <w:webHidden/>
              </w:rPr>
            </w:r>
            <w:r>
              <w:rPr>
                <w:webHidden/>
              </w:rPr>
              <w:fldChar w:fldCharType="separate"/>
            </w:r>
            <w:r>
              <w:rPr>
                <w:webHidden/>
              </w:rPr>
              <w:t>15</w:t>
            </w:r>
            <w:r>
              <w:rPr>
                <w:webHidden/>
              </w:rPr>
              <w:fldChar w:fldCharType="end"/>
            </w:r>
          </w:hyperlink>
        </w:p>
        <w:p w14:paraId="79DCECCA" w14:textId="311D0426" w:rsidR="00664010" w:rsidRDefault="00664010">
          <w:pPr>
            <w:pStyle w:val="TOC2"/>
            <w:rPr>
              <w:rFonts w:asciiTheme="minorHAnsi" w:eastAsiaTheme="minorEastAsia" w:hAnsiTheme="minorHAnsi" w:cstheme="minorBidi"/>
              <w:kern w:val="2"/>
              <w:sz w:val="24"/>
              <w:szCs w:val="24"/>
              <w14:ligatures w14:val="standardContextual"/>
            </w:rPr>
          </w:pPr>
          <w:hyperlink w:anchor="_Toc225844994" w:history="1">
            <w:r w:rsidRPr="00D319E0">
              <w:rPr>
                <w:rStyle w:val="Hyperlink"/>
              </w:rPr>
              <w:t>Lloyd’s prudential restrictions</w:t>
            </w:r>
            <w:r>
              <w:rPr>
                <w:webHidden/>
              </w:rPr>
              <w:tab/>
            </w:r>
            <w:r>
              <w:rPr>
                <w:webHidden/>
              </w:rPr>
              <w:fldChar w:fldCharType="begin"/>
            </w:r>
            <w:r>
              <w:rPr>
                <w:webHidden/>
              </w:rPr>
              <w:instrText xml:space="preserve"> PAGEREF _Toc225844994 \h </w:instrText>
            </w:r>
            <w:r>
              <w:rPr>
                <w:webHidden/>
              </w:rPr>
            </w:r>
            <w:r>
              <w:rPr>
                <w:webHidden/>
              </w:rPr>
              <w:fldChar w:fldCharType="separate"/>
            </w:r>
            <w:r>
              <w:rPr>
                <w:webHidden/>
              </w:rPr>
              <w:t>15</w:t>
            </w:r>
            <w:r>
              <w:rPr>
                <w:webHidden/>
              </w:rPr>
              <w:fldChar w:fldCharType="end"/>
            </w:r>
          </w:hyperlink>
        </w:p>
        <w:p w14:paraId="2B74ECFB" w14:textId="2906B134" w:rsidR="00664010" w:rsidRDefault="00664010">
          <w:pPr>
            <w:pStyle w:val="TOC2"/>
            <w:rPr>
              <w:rFonts w:asciiTheme="minorHAnsi" w:eastAsiaTheme="minorEastAsia" w:hAnsiTheme="minorHAnsi" w:cstheme="minorBidi"/>
              <w:kern w:val="2"/>
              <w:sz w:val="24"/>
              <w:szCs w:val="24"/>
              <w14:ligatures w14:val="standardContextual"/>
            </w:rPr>
          </w:pPr>
          <w:hyperlink w:anchor="_Toc225844995" w:history="1">
            <w:r w:rsidRPr="00D319E0">
              <w:rPr>
                <w:rStyle w:val="Hyperlink"/>
              </w:rPr>
              <w:t>Distribution timetable</w:t>
            </w:r>
            <w:r>
              <w:rPr>
                <w:webHidden/>
              </w:rPr>
              <w:tab/>
            </w:r>
            <w:r>
              <w:rPr>
                <w:webHidden/>
              </w:rPr>
              <w:fldChar w:fldCharType="begin"/>
            </w:r>
            <w:r>
              <w:rPr>
                <w:webHidden/>
              </w:rPr>
              <w:instrText xml:space="preserve"> PAGEREF _Toc225844995 \h </w:instrText>
            </w:r>
            <w:r>
              <w:rPr>
                <w:webHidden/>
              </w:rPr>
            </w:r>
            <w:r>
              <w:rPr>
                <w:webHidden/>
              </w:rPr>
              <w:fldChar w:fldCharType="separate"/>
            </w:r>
            <w:r>
              <w:rPr>
                <w:webHidden/>
              </w:rPr>
              <w:t>16</w:t>
            </w:r>
            <w:r>
              <w:rPr>
                <w:webHidden/>
              </w:rPr>
              <w:fldChar w:fldCharType="end"/>
            </w:r>
          </w:hyperlink>
        </w:p>
        <w:p w14:paraId="3FB42CBB" w14:textId="32F7DDC5" w:rsidR="00664010" w:rsidRDefault="00664010">
          <w:pPr>
            <w:pStyle w:val="TOC1"/>
            <w:rPr>
              <w:rFonts w:asciiTheme="minorHAnsi" w:eastAsiaTheme="minorEastAsia" w:hAnsiTheme="minorHAnsi" w:cstheme="minorBidi"/>
              <w:b w:val="0"/>
              <w:kern w:val="2"/>
              <w:sz w:val="24"/>
              <w:szCs w:val="24"/>
              <w14:ligatures w14:val="standardContextual"/>
            </w:rPr>
          </w:pPr>
          <w:hyperlink w:anchor="_Toc225844996" w:history="1">
            <w:r w:rsidRPr="00D319E0">
              <w:rPr>
                <w:rStyle w:val="Hyperlink"/>
              </w:rPr>
              <w:t>Appendix – Instructions Change Log</w:t>
            </w:r>
            <w:r>
              <w:rPr>
                <w:webHidden/>
              </w:rPr>
              <w:tab/>
            </w:r>
            <w:r>
              <w:rPr>
                <w:webHidden/>
              </w:rPr>
              <w:fldChar w:fldCharType="begin"/>
            </w:r>
            <w:r>
              <w:rPr>
                <w:webHidden/>
              </w:rPr>
              <w:instrText xml:space="preserve"> PAGEREF _Toc225844996 \h </w:instrText>
            </w:r>
            <w:r>
              <w:rPr>
                <w:webHidden/>
              </w:rPr>
            </w:r>
            <w:r>
              <w:rPr>
                <w:webHidden/>
              </w:rPr>
              <w:fldChar w:fldCharType="separate"/>
            </w:r>
            <w:r>
              <w:rPr>
                <w:webHidden/>
              </w:rPr>
              <w:t>17</w:t>
            </w:r>
            <w:r>
              <w:rPr>
                <w:webHidden/>
              </w:rPr>
              <w:fldChar w:fldCharType="end"/>
            </w:r>
          </w:hyperlink>
        </w:p>
        <w:p w14:paraId="562C6112" w14:textId="4878D18C" w:rsidR="0033630D" w:rsidRPr="00EE4092" w:rsidRDefault="00F90A2E" w:rsidP="001B36ED">
          <w:pPr>
            <w:pStyle w:val="TOC4"/>
            <w:rPr>
              <w:rFonts w:eastAsiaTheme="minorEastAsia"/>
            </w:rPr>
          </w:pPr>
          <w:r w:rsidRPr="00201FF4">
            <w:rPr>
              <w:color w:val="2B579A"/>
              <w:shd w:val="clear" w:color="auto" w:fill="E6E6E6"/>
            </w:rPr>
            <w:fldChar w:fldCharType="end"/>
          </w:r>
          <w:r w:rsidR="00760454">
            <w:rPr>
              <w:rFonts w:eastAsiaTheme="minorEastAsia"/>
            </w:rPr>
            <w:t xml:space="preserve"> </w:t>
          </w:r>
        </w:p>
        <w:p w14:paraId="5E09AF5C" w14:textId="757FF486" w:rsidR="00F90A2E" w:rsidRDefault="00000000" w:rsidP="002D472E">
          <w:pPr>
            <w:spacing w:line="240" w:lineRule="auto"/>
            <w:outlineLvl w:val="2"/>
            <w:rPr>
              <w:noProof/>
            </w:rPr>
          </w:pPr>
        </w:p>
      </w:sdtContent>
    </w:sdt>
    <w:p w14:paraId="3ED7A1B3" w14:textId="77777777" w:rsidR="00276FF5" w:rsidRDefault="00276FF5" w:rsidP="002D472E">
      <w:pPr>
        <w:tabs>
          <w:tab w:val="clear" w:pos="5897"/>
        </w:tabs>
        <w:spacing w:line="240" w:lineRule="auto"/>
      </w:pPr>
    </w:p>
    <w:p w14:paraId="41E06186" w14:textId="77777777" w:rsidR="00F90A2E" w:rsidRDefault="00F90A2E" w:rsidP="002D472E">
      <w:pPr>
        <w:tabs>
          <w:tab w:val="clear" w:pos="5897"/>
        </w:tabs>
        <w:spacing w:line="240" w:lineRule="auto"/>
        <w:rPr>
          <w:rFonts w:asciiTheme="majorHAnsi" w:hAnsiTheme="majorHAnsi" w:cstheme="majorHAnsi"/>
          <w:color w:val="16278E" w:themeColor="accent1" w:themeShade="BF"/>
          <w:sz w:val="28"/>
          <w:szCs w:val="28"/>
        </w:rPr>
      </w:pPr>
    </w:p>
    <w:p w14:paraId="2A7A76F3" w14:textId="77777777" w:rsidR="00E514A2" w:rsidRDefault="00E514A2" w:rsidP="002D472E">
      <w:pPr>
        <w:tabs>
          <w:tab w:val="clear" w:pos="5897"/>
        </w:tabs>
        <w:spacing w:line="240" w:lineRule="auto"/>
        <w:rPr>
          <w:rFonts w:asciiTheme="majorHAnsi" w:hAnsiTheme="majorHAnsi"/>
          <w:b/>
          <w:spacing w:val="-2"/>
          <w:kern w:val="28"/>
          <w:sz w:val="32"/>
          <w:szCs w:val="32"/>
        </w:rPr>
      </w:pPr>
      <w:r>
        <w:br w:type="page"/>
      </w:r>
    </w:p>
    <w:p w14:paraId="3BD47CDC" w14:textId="61CEB445" w:rsidR="00D72C98" w:rsidRPr="00246E9A" w:rsidRDefault="002D1787" w:rsidP="00D72C98">
      <w:pPr>
        <w:pStyle w:val="Heading1"/>
        <w:spacing w:after="120" w:line="240" w:lineRule="auto"/>
      </w:pPr>
      <w:bookmarkStart w:id="1" w:name="_Toc225844963"/>
      <w:r>
        <w:lastRenderedPageBreak/>
        <w:t>Reporting Requirements</w:t>
      </w:r>
      <w:bookmarkEnd w:id="1"/>
    </w:p>
    <w:p w14:paraId="61C6C9AE" w14:textId="77777777" w:rsidR="00D72C98" w:rsidRPr="00246E9A" w:rsidRDefault="00D72C98" w:rsidP="00D72C98">
      <w:pPr>
        <w:pStyle w:val="Heading2"/>
      </w:pPr>
      <w:bookmarkStart w:id="2" w:name="_Toc225844964"/>
      <w:r>
        <w:t>Overview of the return</w:t>
      </w:r>
      <w:bookmarkEnd w:id="2"/>
    </w:p>
    <w:p w14:paraId="2233F62C" w14:textId="39B5E347" w:rsidR="00D72C98" w:rsidRPr="006E57CC" w:rsidRDefault="00D72C98" w:rsidP="00A10322">
      <w:pPr>
        <w:pStyle w:val="Bullet"/>
      </w:pPr>
      <w:r w:rsidRPr="006E57CC">
        <w:t xml:space="preserve">In addition to standard Solvency UK reporting requirements for syndicates, Lloyd’s requires </w:t>
      </w:r>
      <w:r w:rsidR="003141CF">
        <w:t>supplementary</w:t>
      </w:r>
      <w:r w:rsidRPr="006E57CC">
        <w:t xml:space="preserve"> solvency</w:t>
      </w:r>
      <w:r w:rsidR="0034725D">
        <w:t xml:space="preserve"> </w:t>
      </w:r>
      <w:r w:rsidRPr="006E57CC">
        <w:t>data at syndicate and reporting year of account level, to support reserving oversight, international licensing, capital modelling, coming into line and reporting in the Lloyd’s published Solvency and Financial Condition Report (SFCR).</w:t>
      </w:r>
    </w:p>
    <w:p w14:paraId="23184DAC" w14:textId="49437F2A" w:rsidR="002B25BF" w:rsidRDefault="00D72C98" w:rsidP="00A10322">
      <w:pPr>
        <w:pStyle w:val="Bullet"/>
      </w:pPr>
      <w:r w:rsidRPr="006E57CC">
        <w:t xml:space="preserve">The </w:t>
      </w:r>
      <w:r w:rsidR="003141CF">
        <w:t xml:space="preserve">supplementary </w:t>
      </w:r>
      <w:r w:rsidR="005973B7">
        <w:t xml:space="preserve">solvency data </w:t>
      </w:r>
      <w:r w:rsidRPr="006E57CC">
        <w:t xml:space="preserve">templates to be submitted by managing agents in respect of each syndicate </w:t>
      </w:r>
      <w:r w:rsidR="009C270D">
        <w:t>should</w:t>
      </w:r>
      <w:r w:rsidR="00115740">
        <w:t xml:space="preserve"> be</w:t>
      </w:r>
      <w:r w:rsidR="00FD2A26">
        <w:t xml:space="preserve"> downloaded from </w:t>
      </w:r>
      <w:r w:rsidR="00FD2A26" w:rsidRPr="00F3312B">
        <w:rPr>
          <w:color w:val="000000" w:themeColor="text1"/>
        </w:rPr>
        <w:t xml:space="preserve">the </w:t>
      </w:r>
      <w:r w:rsidR="00B1165C">
        <w:rPr>
          <w:color w:val="000000" w:themeColor="text1"/>
        </w:rPr>
        <w:t xml:space="preserve">Lloyd’s </w:t>
      </w:r>
      <w:hyperlink r:id="rId19" w:history="1">
        <w:r w:rsidR="00B1165C" w:rsidRPr="00DC0342">
          <w:rPr>
            <w:rStyle w:val="Hyperlink"/>
          </w:rPr>
          <w:t>Solvency UK</w:t>
        </w:r>
      </w:hyperlink>
      <w:r w:rsidR="00115740" w:rsidRPr="00F3312B">
        <w:rPr>
          <w:color w:val="000000" w:themeColor="text1"/>
        </w:rPr>
        <w:t xml:space="preserve"> </w:t>
      </w:r>
      <w:r w:rsidR="00BB2AF9" w:rsidRPr="00F3312B">
        <w:rPr>
          <w:color w:val="000000" w:themeColor="text1"/>
        </w:rPr>
        <w:t>web</w:t>
      </w:r>
      <w:r w:rsidR="00115740" w:rsidRPr="00F3312B">
        <w:rPr>
          <w:color w:val="000000" w:themeColor="text1"/>
        </w:rPr>
        <w:t>sit</w:t>
      </w:r>
      <w:r w:rsidR="009C270D" w:rsidRPr="00F3312B">
        <w:rPr>
          <w:color w:val="000000" w:themeColor="text1"/>
        </w:rPr>
        <w:t>e</w:t>
      </w:r>
      <w:r w:rsidR="00F51386">
        <w:t>.</w:t>
      </w:r>
    </w:p>
    <w:p w14:paraId="509CADFD" w14:textId="092E5E63" w:rsidR="000C4984" w:rsidRDefault="0024516E" w:rsidP="00F3312B">
      <w:pPr>
        <w:pStyle w:val="Bullet"/>
      </w:pPr>
      <w:r>
        <w:t>T</w:t>
      </w:r>
      <w:r w:rsidR="00480704" w:rsidRPr="00952A89">
        <w:t>he templates</w:t>
      </w:r>
      <w:r w:rsidR="0037323B" w:rsidRPr="00952A89">
        <w:t xml:space="preserve"> </w:t>
      </w:r>
      <w:r w:rsidR="005D1294">
        <w:t xml:space="preserve">listed below </w:t>
      </w:r>
      <w:r w:rsidR="000045FB">
        <w:t>are required to be completed</w:t>
      </w:r>
      <w:r w:rsidR="0037323B" w:rsidRPr="00952A89">
        <w:t xml:space="preserve"> </w:t>
      </w:r>
      <w:r w:rsidR="004D04F3">
        <w:t xml:space="preserve">for </w:t>
      </w:r>
      <w:r w:rsidR="0037323B" w:rsidRPr="00952A89">
        <w:t>each qua</w:t>
      </w:r>
      <w:r w:rsidR="00D546CC" w:rsidRPr="00952A89">
        <w:t>rter</w:t>
      </w:r>
      <w:r w:rsidR="00B1451E">
        <w:t>ly submission</w:t>
      </w:r>
      <w:r w:rsidR="00D546CC" w:rsidRPr="00952A89">
        <w:t xml:space="preserve"> and </w:t>
      </w:r>
      <w:r w:rsidR="00B1451E">
        <w:t xml:space="preserve">for the </w:t>
      </w:r>
      <w:r w:rsidR="00D546CC" w:rsidRPr="00952A89">
        <w:t>annual</w:t>
      </w:r>
      <w:r>
        <w:t xml:space="preserve"> </w:t>
      </w:r>
      <w:r w:rsidR="00B1451E">
        <w:t>submission</w:t>
      </w:r>
      <w:r w:rsidR="00945DBF">
        <w:t>:</w:t>
      </w:r>
      <w:r w:rsidR="00D546CC" w:rsidRPr="00952A89">
        <w:t xml:space="preserve"> </w:t>
      </w:r>
      <w:r w:rsidR="00480704" w:rsidRPr="00952A89">
        <w:t xml:space="preserve"> </w:t>
      </w:r>
    </w:p>
    <w:p w14:paraId="074D20F6" w14:textId="52E7B249" w:rsidR="0024516E" w:rsidRPr="003D6568" w:rsidRDefault="008444B7" w:rsidP="00F3312B">
      <w:pPr>
        <w:pStyle w:val="Bullet"/>
        <w:numPr>
          <w:ilvl w:val="0"/>
          <w:numId w:val="29"/>
        </w:numPr>
      </w:pPr>
      <w:r>
        <w:t>Cover</w:t>
      </w:r>
      <w:r w:rsidR="0024516E" w:rsidRPr="003D6568">
        <w:t xml:space="preserve"> </w:t>
      </w:r>
      <w:r w:rsidR="00C916D6" w:rsidRPr="003D6568">
        <w:t>page</w:t>
      </w:r>
    </w:p>
    <w:p w14:paraId="732EB530" w14:textId="0ED19B08" w:rsidR="00C916D6" w:rsidRPr="00F3312B" w:rsidRDefault="00C916D6" w:rsidP="00F3312B">
      <w:pPr>
        <w:pStyle w:val="Bullet"/>
        <w:numPr>
          <w:ilvl w:val="0"/>
          <w:numId w:val="29"/>
        </w:numPr>
      </w:pPr>
      <w:r w:rsidRPr="003D6568">
        <w:t xml:space="preserve">Solvency balance </w:t>
      </w:r>
      <w:r w:rsidR="00B3106C" w:rsidRPr="00F3312B">
        <w:t>sheet reconciliation and reinsurance contract boundary</w:t>
      </w:r>
    </w:p>
    <w:p w14:paraId="5A0E93FE" w14:textId="617C1D4B" w:rsidR="00B3106C" w:rsidRPr="00F3312B" w:rsidRDefault="00B3106C" w:rsidP="00F3312B">
      <w:pPr>
        <w:pStyle w:val="Bullet"/>
        <w:numPr>
          <w:ilvl w:val="0"/>
          <w:numId w:val="29"/>
        </w:numPr>
      </w:pPr>
      <w:r w:rsidRPr="00F3312B">
        <w:t>Other Adjustments</w:t>
      </w:r>
    </w:p>
    <w:p w14:paraId="0757570D" w14:textId="622F800D" w:rsidR="00B3106C" w:rsidRPr="00F3312B" w:rsidRDefault="00B3106C" w:rsidP="00F3312B">
      <w:pPr>
        <w:pStyle w:val="Bullet"/>
        <w:numPr>
          <w:ilvl w:val="0"/>
          <w:numId w:val="29"/>
        </w:numPr>
      </w:pPr>
      <w:r w:rsidRPr="00F3312B">
        <w:t>Members prov</w:t>
      </w:r>
      <w:r w:rsidR="00C10044">
        <w:t>id</w:t>
      </w:r>
      <w:r w:rsidRPr="00F3312B">
        <w:t>ing capital (Funds in Syndicate)</w:t>
      </w:r>
    </w:p>
    <w:p w14:paraId="49F410EB" w14:textId="42B0A75D" w:rsidR="00B3106C" w:rsidRPr="00F3312B" w:rsidRDefault="00B3106C" w:rsidP="00F3312B">
      <w:pPr>
        <w:pStyle w:val="Bullet"/>
        <w:numPr>
          <w:ilvl w:val="0"/>
          <w:numId w:val="29"/>
        </w:numPr>
        <w:rPr>
          <w:rFonts w:asciiTheme="majorHAnsi" w:hAnsiTheme="majorHAnsi" w:cstheme="majorHAnsi"/>
        </w:rPr>
      </w:pPr>
      <w:r w:rsidRPr="00F3312B">
        <w:t>Comments</w:t>
      </w:r>
    </w:p>
    <w:p w14:paraId="554B4D33" w14:textId="62BEDAA0" w:rsidR="009C2B9F" w:rsidRPr="00246E9A" w:rsidRDefault="00CE33A6" w:rsidP="009C2B9F">
      <w:pPr>
        <w:pStyle w:val="Heading2"/>
      </w:pPr>
      <w:bookmarkStart w:id="3" w:name="_9b007842_f8fa_4277_a360_47f3026642f1"/>
      <w:bookmarkStart w:id="4" w:name="_Toc214831110"/>
      <w:bookmarkStart w:id="5" w:name="_Toc225844965"/>
      <w:bookmarkEnd w:id="3"/>
      <w:bookmarkEnd w:id="4"/>
      <w:r>
        <w:t>Preparation guidance</w:t>
      </w:r>
      <w:bookmarkEnd w:id="5"/>
    </w:p>
    <w:p w14:paraId="22D18712" w14:textId="153B148D" w:rsidR="00CE33A6" w:rsidRPr="006E57CC" w:rsidRDefault="00700959" w:rsidP="00A10322">
      <w:pPr>
        <w:pStyle w:val="Bullet"/>
      </w:pPr>
      <w:r w:rsidRPr="006E57CC">
        <w:t xml:space="preserve">Templates </w:t>
      </w:r>
      <w:r w:rsidR="00CC10B7" w:rsidRPr="006E57CC">
        <w:t>must</w:t>
      </w:r>
      <w:r w:rsidRPr="006E57CC">
        <w:t xml:space="preserve"> be completed at syndicate level</w:t>
      </w:r>
      <w:r w:rsidR="00181EAF" w:rsidRPr="006E57CC">
        <w:t xml:space="preserve"> </w:t>
      </w:r>
      <w:r w:rsidR="000F6EB4" w:rsidRPr="006E57CC">
        <w:t>and,</w:t>
      </w:r>
      <w:r w:rsidR="00181EAF" w:rsidRPr="006E57CC">
        <w:t xml:space="preserve"> where </w:t>
      </w:r>
      <w:r w:rsidR="000F6EB4" w:rsidRPr="006E57CC">
        <w:t>required, by</w:t>
      </w:r>
      <w:r w:rsidR="001B6483" w:rsidRPr="006E57CC">
        <w:t xml:space="preserve"> reporting year of account</w:t>
      </w:r>
      <w:r w:rsidRPr="006E57CC">
        <w:t xml:space="preserve">. Amounts or details relating to assets, letters of credit and/or bank guarantees provided as Funds at Lloyd’s (FAL) </w:t>
      </w:r>
      <w:r w:rsidR="00BB4010" w:rsidRPr="006E57CC">
        <w:t xml:space="preserve">must </w:t>
      </w:r>
      <w:r w:rsidRPr="006E57CC">
        <w:t>not be reported on any template.</w:t>
      </w:r>
    </w:p>
    <w:p w14:paraId="5F6C4FE3" w14:textId="6E38C7FA" w:rsidR="00700959" w:rsidRDefault="00700959" w:rsidP="00A10322">
      <w:pPr>
        <w:pStyle w:val="Bullet"/>
      </w:pPr>
      <w:r w:rsidRPr="006E57CC">
        <w:t>The reporting currency is GBP</w:t>
      </w:r>
      <w:r w:rsidR="002D75FA" w:rsidRPr="006E57CC">
        <w:t xml:space="preserve"> for all templates</w:t>
      </w:r>
      <w:r w:rsidRPr="006E57CC">
        <w:t>.</w:t>
      </w:r>
      <w:r w:rsidR="00F51386">
        <w:t xml:space="preserve"> </w:t>
      </w:r>
    </w:p>
    <w:p w14:paraId="02D68CDC" w14:textId="1B4FEB3A" w:rsidR="005B1FB3" w:rsidRPr="006E57CC" w:rsidRDefault="005B1FB3" w:rsidP="00A10322">
      <w:pPr>
        <w:pStyle w:val="Bullet"/>
      </w:pPr>
      <w:r>
        <w:t>NIL returns are not required to be submitted.</w:t>
      </w:r>
    </w:p>
    <w:p w14:paraId="1B20B6C5" w14:textId="4E231218" w:rsidR="00CE33A6" w:rsidRPr="00246E9A" w:rsidRDefault="00846D02" w:rsidP="00CE33A6">
      <w:pPr>
        <w:pStyle w:val="Heading1"/>
        <w:spacing w:after="120" w:line="240" w:lineRule="auto"/>
      </w:pPr>
      <w:bookmarkStart w:id="6" w:name="_Supplementary_Lloyd’s_Instructions"/>
      <w:bookmarkStart w:id="7" w:name="_Toc225844966"/>
      <w:bookmarkEnd w:id="6"/>
      <w:r>
        <w:t>Template i</w:t>
      </w:r>
      <w:r w:rsidR="002A1B3C" w:rsidRPr="00BF428F">
        <w:t>nstructions</w:t>
      </w:r>
      <w:bookmarkEnd w:id="7"/>
    </w:p>
    <w:p w14:paraId="7F165626" w14:textId="0D7104DB" w:rsidR="00CE33A6" w:rsidRPr="00246E9A" w:rsidRDefault="00CE33A6" w:rsidP="00CE33A6">
      <w:pPr>
        <w:pStyle w:val="Heading2"/>
      </w:pPr>
      <w:bookmarkStart w:id="8" w:name="_Toc225844967"/>
      <w:r>
        <w:t>Cover</w:t>
      </w:r>
      <w:bookmarkEnd w:id="8"/>
      <w:r>
        <w:t xml:space="preserve"> </w:t>
      </w:r>
    </w:p>
    <w:p w14:paraId="0D624959" w14:textId="271CBB4E" w:rsidR="00CE33A6" w:rsidRPr="006E57CC" w:rsidRDefault="00AC51DD" w:rsidP="00A10322">
      <w:pPr>
        <w:pStyle w:val="Bullet"/>
      </w:pPr>
      <w:r w:rsidRPr="006E57CC">
        <w:rPr>
          <w:shd w:val="clear" w:color="auto" w:fill="FFFFFF" w:themeFill="background1"/>
        </w:rPr>
        <w:t>This template collects basic information regarding the syndicate, including the syndicate number</w:t>
      </w:r>
      <w:r w:rsidR="00690961" w:rsidRPr="006E57CC">
        <w:rPr>
          <w:shd w:val="clear" w:color="auto" w:fill="FFFFFF" w:themeFill="background1"/>
        </w:rPr>
        <w:t>, the reporting year</w:t>
      </w:r>
      <w:r w:rsidR="002C4FA0" w:rsidRPr="006E57CC">
        <w:rPr>
          <w:shd w:val="clear" w:color="auto" w:fill="FFFFFF" w:themeFill="background1"/>
        </w:rPr>
        <w:t xml:space="preserve">, </w:t>
      </w:r>
      <w:r w:rsidR="007B5EBD">
        <w:rPr>
          <w:shd w:val="clear" w:color="auto" w:fill="FFFFFF" w:themeFill="background1"/>
        </w:rPr>
        <w:t xml:space="preserve">reporting period, </w:t>
      </w:r>
      <w:r w:rsidR="002C4FA0" w:rsidRPr="006E57CC">
        <w:rPr>
          <w:shd w:val="clear" w:color="auto" w:fill="FFFFFF" w:themeFill="background1"/>
        </w:rPr>
        <w:t xml:space="preserve">years </w:t>
      </w:r>
      <w:r w:rsidR="00CB3357">
        <w:rPr>
          <w:shd w:val="clear" w:color="auto" w:fill="FFFFFF" w:themeFill="background1"/>
        </w:rPr>
        <w:t xml:space="preserve">of </w:t>
      </w:r>
      <w:r w:rsidR="002C4FA0" w:rsidRPr="006E57CC">
        <w:rPr>
          <w:shd w:val="clear" w:color="auto" w:fill="FFFFFF" w:themeFill="background1"/>
        </w:rPr>
        <w:t>account</w:t>
      </w:r>
      <w:r w:rsidRPr="006E57CC">
        <w:rPr>
          <w:shd w:val="clear" w:color="auto" w:fill="FFFFFF" w:themeFill="background1"/>
        </w:rPr>
        <w:t xml:space="preserve"> and their status</w:t>
      </w:r>
      <w:r w:rsidRPr="006E57CC">
        <w:t xml:space="preserve"> (open </w:t>
      </w:r>
      <w:r w:rsidR="007661E7">
        <w:t>or</w:t>
      </w:r>
      <w:r w:rsidRPr="006E57CC">
        <w:t xml:space="preserve"> closed)</w:t>
      </w:r>
      <w:r w:rsidR="001C40CB" w:rsidRPr="006E57CC">
        <w:t xml:space="preserve"> and </w:t>
      </w:r>
      <w:r w:rsidR="0058291F" w:rsidRPr="006E57CC">
        <w:t>type of</w:t>
      </w:r>
      <w:r w:rsidR="001C40CB" w:rsidRPr="006E57CC">
        <w:t xml:space="preserve"> return </w:t>
      </w:r>
      <w:r w:rsidR="00843CF1" w:rsidRPr="006E57CC">
        <w:t>(</w:t>
      </w:r>
      <w:r w:rsidR="001C40CB" w:rsidRPr="006E57CC">
        <w:t xml:space="preserve">annual or </w:t>
      </w:r>
      <w:r w:rsidR="007661E7">
        <w:t>quarterly</w:t>
      </w:r>
      <w:r w:rsidR="001C40CB" w:rsidRPr="006E57CC">
        <w:t>).</w:t>
      </w:r>
      <w:r w:rsidR="00F51386">
        <w:t xml:space="preserve"> </w:t>
      </w:r>
      <w:r w:rsidR="00CC4FAB" w:rsidRPr="006E57CC">
        <w:t xml:space="preserve">The </w:t>
      </w:r>
      <w:r w:rsidR="00F53E91" w:rsidRPr="006E57CC">
        <w:t xml:space="preserve">year of account </w:t>
      </w:r>
      <w:r w:rsidR="0058291F" w:rsidRPr="006E57CC">
        <w:t xml:space="preserve">status and </w:t>
      </w:r>
      <w:r w:rsidR="00843CF1" w:rsidRPr="006E57CC">
        <w:t>t</w:t>
      </w:r>
      <w:r w:rsidR="00812651" w:rsidRPr="006E57CC">
        <w:t xml:space="preserve">he type of return information </w:t>
      </w:r>
      <w:r w:rsidR="004549EE">
        <w:t xml:space="preserve">are </w:t>
      </w:r>
      <w:r w:rsidR="00812651" w:rsidRPr="006E57CC">
        <w:t xml:space="preserve">used to </w:t>
      </w:r>
      <w:r w:rsidR="00397F92" w:rsidRPr="006E57CC">
        <w:t xml:space="preserve">generate the fields that </w:t>
      </w:r>
      <w:r w:rsidR="004549EE">
        <w:t xml:space="preserve">must </w:t>
      </w:r>
      <w:r w:rsidR="00397F92" w:rsidRPr="006E57CC">
        <w:t>be populated in the return.</w:t>
      </w:r>
    </w:p>
    <w:p w14:paraId="3DAC14ED" w14:textId="043211E6" w:rsidR="007754B3" w:rsidRPr="006E57CC" w:rsidRDefault="00F835DA" w:rsidP="00A10322">
      <w:pPr>
        <w:pStyle w:val="Bullet"/>
      </w:pPr>
      <w:r w:rsidRPr="006E57CC">
        <w:t>T</w:t>
      </w:r>
      <w:r w:rsidR="002779E8" w:rsidRPr="006E57CC">
        <w:t>he year</w:t>
      </w:r>
      <w:r w:rsidR="006A7DC4" w:rsidRPr="006E57CC">
        <w:t>s</w:t>
      </w:r>
      <w:r w:rsidR="002779E8" w:rsidRPr="006E57CC">
        <w:t xml:space="preserve"> of account follow the traditional Lloyd’s method, referring to each open or closing year of account in which members had a participation at the period end.</w:t>
      </w:r>
      <w:r w:rsidR="00F501B0" w:rsidRPr="006E57CC">
        <w:t xml:space="preserve"> </w:t>
      </w:r>
      <w:r w:rsidR="00BA637F" w:rsidRPr="006E57CC">
        <w:t xml:space="preserve">For annual and Q4 reporting, </w:t>
      </w:r>
      <w:r w:rsidR="00A971C4">
        <w:t>if</w:t>
      </w:r>
      <w:r w:rsidR="00A971C4" w:rsidRPr="006E57CC">
        <w:t xml:space="preserve"> </w:t>
      </w:r>
      <w:r w:rsidR="00BA637F" w:rsidRPr="006E57CC">
        <w:t xml:space="preserve">the syndicate is </w:t>
      </w:r>
      <w:r w:rsidR="009128E0" w:rsidRPr="006E57CC">
        <w:t>to continue into the following year of account, that</w:t>
      </w:r>
      <w:r w:rsidR="0019637D" w:rsidRPr="006E57CC">
        <w:t xml:space="preserve"> following</w:t>
      </w:r>
      <w:r w:rsidR="009128E0" w:rsidRPr="006E57CC">
        <w:t xml:space="preserve"> </w:t>
      </w:r>
      <w:r w:rsidR="00DD3A18" w:rsidRPr="006E57CC">
        <w:t>year of account must also be reported</w:t>
      </w:r>
      <w:r w:rsidR="001A076A" w:rsidRPr="006E57CC">
        <w:t xml:space="preserve"> as </w:t>
      </w:r>
      <w:r w:rsidR="00C903AE">
        <w:t>‘</w:t>
      </w:r>
      <w:r w:rsidR="001A076A" w:rsidRPr="006E57CC">
        <w:t>open</w:t>
      </w:r>
      <w:r w:rsidR="00FD61E6">
        <w:t>’</w:t>
      </w:r>
      <w:r w:rsidR="00014BB6" w:rsidRPr="006E57CC">
        <w:t xml:space="preserve"> to capture solvency adjustments </w:t>
      </w:r>
      <w:r w:rsidR="00A32DC5">
        <w:t>applicable to it</w:t>
      </w:r>
      <w:r w:rsidR="00404038" w:rsidRPr="006E57CC">
        <w:t>.</w:t>
      </w:r>
    </w:p>
    <w:p w14:paraId="53419129" w14:textId="788B9C7D" w:rsidR="00DC6255" w:rsidRDefault="00404038" w:rsidP="00A10322">
      <w:pPr>
        <w:pStyle w:val="Bullet"/>
      </w:pPr>
      <w:r w:rsidRPr="006E57CC">
        <w:t>For 202</w:t>
      </w:r>
      <w:r w:rsidR="00DF1516">
        <w:t>6</w:t>
      </w:r>
      <w:r w:rsidRPr="006E57CC">
        <w:t xml:space="preserve"> annual and </w:t>
      </w:r>
      <w:r w:rsidR="008228CD" w:rsidRPr="006E57CC">
        <w:t>Q4</w:t>
      </w:r>
      <w:r w:rsidRPr="006E57CC">
        <w:t xml:space="preserve"> returns the reporting years of account will be the 202</w:t>
      </w:r>
      <w:r w:rsidR="00DF1516">
        <w:t>4</w:t>
      </w:r>
      <w:r w:rsidRPr="006E57CC">
        <w:t>, 202</w:t>
      </w:r>
      <w:r w:rsidR="00DF1516">
        <w:t>5</w:t>
      </w:r>
      <w:r w:rsidRPr="006E57CC">
        <w:t xml:space="preserve"> or 202</w:t>
      </w:r>
      <w:r w:rsidR="00DF1516">
        <w:t>6</w:t>
      </w:r>
      <w:r w:rsidRPr="006E57CC">
        <w:t xml:space="preserve"> open years of account </w:t>
      </w:r>
      <w:r w:rsidR="004D11A8" w:rsidRPr="006E57CC">
        <w:t>(plus 202</w:t>
      </w:r>
      <w:r w:rsidR="00DF1516">
        <w:t>7</w:t>
      </w:r>
      <w:r w:rsidR="003F66D5" w:rsidRPr="006E57CC">
        <w:t xml:space="preserve"> if the syndicate is continuing) </w:t>
      </w:r>
      <w:r w:rsidRPr="006E57CC">
        <w:t>a</w:t>
      </w:r>
      <w:r w:rsidR="00D54027" w:rsidRPr="006E57CC">
        <w:t>s well as</w:t>
      </w:r>
      <w:r w:rsidRPr="006E57CC">
        <w:t xml:space="preserve"> </w:t>
      </w:r>
      <w:r w:rsidR="003915A3" w:rsidRPr="006E57CC">
        <w:t>a</w:t>
      </w:r>
      <w:r w:rsidR="001A1655" w:rsidRPr="006E57CC">
        <w:t>ny</w:t>
      </w:r>
      <w:r w:rsidR="003915A3" w:rsidRPr="006E57CC">
        <w:t xml:space="preserve"> </w:t>
      </w:r>
      <w:r w:rsidRPr="006E57CC">
        <w:t>202</w:t>
      </w:r>
      <w:r w:rsidR="00DF1516">
        <w:t>3</w:t>
      </w:r>
      <w:r w:rsidRPr="006E57CC">
        <w:t xml:space="preserve"> </w:t>
      </w:r>
      <w:r w:rsidR="00DF5430" w:rsidRPr="006E57CC">
        <w:t xml:space="preserve">or previous </w:t>
      </w:r>
      <w:r w:rsidRPr="006E57CC">
        <w:t>run-off years of account which have not been reinsured to close</w:t>
      </w:r>
      <w:r w:rsidR="00FC066D" w:rsidRPr="006E57CC">
        <w:t>,</w:t>
      </w:r>
      <w:r w:rsidRPr="006E57CC">
        <w:t xml:space="preserve"> </w:t>
      </w:r>
      <w:r w:rsidR="001A1655" w:rsidRPr="006E57CC">
        <w:t xml:space="preserve">or are </w:t>
      </w:r>
      <w:r w:rsidR="007364F2">
        <w:t xml:space="preserve">not </w:t>
      </w:r>
      <w:r w:rsidR="001A1655" w:rsidRPr="006E57CC">
        <w:t xml:space="preserve">closing </w:t>
      </w:r>
      <w:r w:rsidRPr="006E57CC">
        <w:t>as at 31</w:t>
      </w:r>
      <w:r w:rsidR="007562B3">
        <w:t> </w:t>
      </w:r>
      <w:r w:rsidRPr="006E57CC">
        <w:t>December 202</w:t>
      </w:r>
      <w:r w:rsidR="00DF1516">
        <w:t>6</w:t>
      </w:r>
      <w:r w:rsidRPr="006E57CC">
        <w:t>.</w:t>
      </w:r>
      <w:r w:rsidR="00FD2022" w:rsidRPr="006E57CC">
        <w:t xml:space="preserve"> </w:t>
      </w:r>
    </w:p>
    <w:p w14:paraId="1483F107" w14:textId="3E78497A" w:rsidR="00317D31" w:rsidRDefault="00317D31" w:rsidP="00A10322">
      <w:pPr>
        <w:pStyle w:val="Bullet"/>
      </w:pPr>
      <w:r>
        <w:t>Incorrect syndicate number and/or reporting period will require a resubmission.</w:t>
      </w:r>
    </w:p>
    <w:p w14:paraId="673D1471" w14:textId="76210264" w:rsidR="00DC6255" w:rsidRPr="00246E9A" w:rsidRDefault="000C0693" w:rsidP="00DC6255">
      <w:pPr>
        <w:pStyle w:val="Heading2"/>
      </w:pPr>
      <w:bookmarkStart w:id="9" w:name="_Toc213062417"/>
      <w:bookmarkStart w:id="10" w:name="_Toc213069768"/>
      <w:bookmarkStart w:id="11" w:name="_Toc213767668"/>
      <w:bookmarkStart w:id="12" w:name="_Toc213830685"/>
      <w:bookmarkStart w:id="13" w:name="_Toc214831145"/>
      <w:bookmarkStart w:id="14" w:name="_Toc213670916"/>
      <w:bookmarkStart w:id="15" w:name="_Toc213767669"/>
      <w:bookmarkStart w:id="16" w:name="_Toc213830686"/>
      <w:bookmarkStart w:id="17" w:name="_Toc214831146"/>
      <w:bookmarkStart w:id="18" w:name="_Toc225844968"/>
      <w:bookmarkEnd w:id="9"/>
      <w:bookmarkEnd w:id="10"/>
      <w:bookmarkEnd w:id="11"/>
      <w:bookmarkEnd w:id="12"/>
      <w:bookmarkEnd w:id="13"/>
      <w:bookmarkEnd w:id="14"/>
      <w:bookmarkEnd w:id="15"/>
      <w:bookmarkEnd w:id="16"/>
      <w:bookmarkEnd w:id="17"/>
      <w:r>
        <w:t xml:space="preserve">Solvency balance sheet reconciliation and </w:t>
      </w:r>
      <w:r w:rsidR="00484D67">
        <w:t xml:space="preserve">reinsurance </w:t>
      </w:r>
      <w:r>
        <w:t>contract boundary</w:t>
      </w:r>
      <w:bookmarkEnd w:id="18"/>
      <w:r>
        <w:t xml:space="preserve"> </w:t>
      </w:r>
    </w:p>
    <w:p w14:paraId="522C9CC7" w14:textId="5269D8F6" w:rsidR="00262A16" w:rsidRPr="006E57CC" w:rsidRDefault="00262A16" w:rsidP="00A10322">
      <w:pPr>
        <w:pStyle w:val="Bullet"/>
      </w:pPr>
      <w:r w:rsidRPr="006E57CC">
        <w:t>This template includes the following:</w:t>
      </w:r>
    </w:p>
    <w:p w14:paraId="3E67D261" w14:textId="31F2007E" w:rsidR="00957F08" w:rsidRPr="006E57CC" w:rsidRDefault="00957F08" w:rsidP="00A10322">
      <w:pPr>
        <w:pStyle w:val="Bullet"/>
        <w:numPr>
          <w:ilvl w:val="0"/>
          <w:numId w:val="29"/>
        </w:numPr>
      </w:pPr>
      <w:r w:rsidRPr="006E57CC">
        <w:t xml:space="preserve">Solvency </w:t>
      </w:r>
      <w:r w:rsidR="00144D91" w:rsidRPr="006E57CC">
        <w:t>b</w:t>
      </w:r>
      <w:r w:rsidRPr="006E57CC">
        <w:t xml:space="preserve">alance </w:t>
      </w:r>
      <w:r w:rsidR="00144D91" w:rsidRPr="006E57CC">
        <w:t>s</w:t>
      </w:r>
      <w:r w:rsidRPr="006E57CC">
        <w:t xml:space="preserve">heet </w:t>
      </w:r>
      <w:r w:rsidR="00144D91" w:rsidRPr="006E57CC">
        <w:t>r</w:t>
      </w:r>
      <w:r w:rsidRPr="006E57CC">
        <w:t>econciliation</w:t>
      </w:r>
      <w:r w:rsidR="002F5DE1" w:rsidRPr="006E57CC">
        <w:t xml:space="preserve"> (lines 1 to </w:t>
      </w:r>
      <w:r w:rsidR="001D7133" w:rsidRPr="006E57CC">
        <w:t>18)</w:t>
      </w:r>
      <w:r w:rsidR="005703F5" w:rsidRPr="006E57CC">
        <w:t xml:space="preserve"> </w:t>
      </w:r>
    </w:p>
    <w:p w14:paraId="49EC92C4" w14:textId="6D0F6ECA" w:rsidR="00EF468C" w:rsidRPr="006E57CC" w:rsidRDefault="00EF468C" w:rsidP="00A10322">
      <w:pPr>
        <w:pStyle w:val="Bullet"/>
        <w:numPr>
          <w:ilvl w:val="0"/>
          <w:numId w:val="29"/>
        </w:numPr>
      </w:pPr>
      <w:r w:rsidRPr="006E57CC">
        <w:lastRenderedPageBreak/>
        <w:t xml:space="preserve">Unearned </w:t>
      </w:r>
      <w:r w:rsidR="00144D91" w:rsidRPr="006E57CC">
        <w:t>i</w:t>
      </w:r>
      <w:r w:rsidR="0027338C" w:rsidRPr="006E57CC">
        <w:t xml:space="preserve">ncepted </w:t>
      </w:r>
      <w:r w:rsidR="00144D91" w:rsidRPr="006E57CC">
        <w:t>u</w:t>
      </w:r>
      <w:r w:rsidR="0027338C" w:rsidRPr="006E57CC">
        <w:t xml:space="preserve">ltimate </w:t>
      </w:r>
      <w:r w:rsidR="00144D91" w:rsidRPr="006E57CC">
        <w:t>p</w:t>
      </w:r>
      <w:r w:rsidR="0027338C" w:rsidRPr="006E57CC">
        <w:t>remium</w:t>
      </w:r>
      <w:r w:rsidR="005318C6" w:rsidRPr="006E57CC">
        <w:t>s and claims</w:t>
      </w:r>
      <w:r w:rsidR="0027338C" w:rsidRPr="006E57CC">
        <w:t xml:space="preserve"> </w:t>
      </w:r>
      <w:r w:rsidR="001D7133" w:rsidRPr="006E57CC">
        <w:t>(lines 19 and 20)</w:t>
      </w:r>
    </w:p>
    <w:p w14:paraId="34BD96DD" w14:textId="1E350B24" w:rsidR="007C081B" w:rsidRPr="006E57CC" w:rsidRDefault="00144D91" w:rsidP="00A10322">
      <w:pPr>
        <w:pStyle w:val="Bullet"/>
        <w:numPr>
          <w:ilvl w:val="0"/>
          <w:numId w:val="29"/>
        </w:numPr>
      </w:pPr>
      <w:r w:rsidRPr="006E57CC">
        <w:t>Impact of reinsurance contract boundary treatment</w:t>
      </w:r>
      <w:r w:rsidR="001D7133" w:rsidRPr="006E57CC">
        <w:t xml:space="preserve"> (line </w:t>
      </w:r>
      <w:r w:rsidR="00A07EB9" w:rsidRPr="006E57CC">
        <w:t>21)</w:t>
      </w:r>
    </w:p>
    <w:p w14:paraId="000847E9" w14:textId="6610D87E" w:rsidR="007C081B" w:rsidRPr="006E57CC" w:rsidRDefault="00685694" w:rsidP="00A10322">
      <w:pPr>
        <w:pStyle w:val="Bullet"/>
      </w:pPr>
      <w:r w:rsidRPr="006E57CC">
        <w:t xml:space="preserve">The open reporting years of account </w:t>
      </w:r>
      <w:r w:rsidR="0092048E" w:rsidRPr="006E57CC">
        <w:t>to be reported on this template are generated based on the information provided in the cover sheet.</w:t>
      </w:r>
      <w:r w:rsidR="00F51386">
        <w:t xml:space="preserve"> </w:t>
      </w:r>
    </w:p>
    <w:p w14:paraId="76AACE3B" w14:textId="2F4E582E" w:rsidR="002B766F" w:rsidRPr="006E57CC" w:rsidRDefault="002713A0" w:rsidP="00A10322">
      <w:pPr>
        <w:pStyle w:val="Bullet"/>
      </w:pPr>
      <w:r w:rsidRPr="006E57CC">
        <w:t xml:space="preserve">The figures reported on this </w:t>
      </w:r>
      <w:r w:rsidR="000E0A59" w:rsidRPr="006E57CC">
        <w:t>template</w:t>
      </w:r>
      <w:r w:rsidRPr="006E57CC">
        <w:t xml:space="preserve"> must be entered undiscounted (discounting is reported on line 12)</w:t>
      </w:r>
      <w:r w:rsidR="00ED5BFA">
        <w:t>. Positive amounts represent an increase in member</w:t>
      </w:r>
      <w:r w:rsidR="00963904">
        <w:t xml:space="preserve"> balances.</w:t>
      </w:r>
      <w:r w:rsidRPr="006E57CC">
        <w:t xml:space="preserve"> </w:t>
      </w:r>
      <w:r w:rsidR="00963904">
        <w:t>T</w:t>
      </w:r>
      <w:r w:rsidRPr="006E57CC">
        <w:t xml:space="preserve">he </w:t>
      </w:r>
      <w:r w:rsidR="00870449">
        <w:t xml:space="preserve">expected </w:t>
      </w:r>
      <w:r w:rsidRPr="006E57CC">
        <w:t xml:space="preserve">signage </w:t>
      </w:r>
      <w:r w:rsidR="008B394C">
        <w:t xml:space="preserve">for certain fields </w:t>
      </w:r>
      <w:r w:rsidR="00E36B22">
        <w:t xml:space="preserve">is </w:t>
      </w:r>
      <w:r w:rsidR="008B394C">
        <w:t xml:space="preserve">identified </w:t>
      </w:r>
      <w:r w:rsidRPr="006E57CC">
        <w:t xml:space="preserve">per the </w:t>
      </w:r>
      <w:r w:rsidR="00795F08" w:rsidRPr="006E57CC">
        <w:t xml:space="preserve">template </w:t>
      </w:r>
      <w:r w:rsidRPr="006E57CC">
        <w:t>specification and instructions below.</w:t>
      </w:r>
    </w:p>
    <w:p w14:paraId="11B6A8C5" w14:textId="23C46BAF" w:rsidR="002B766F" w:rsidRPr="00246E9A" w:rsidRDefault="002B766F" w:rsidP="002B766F">
      <w:pPr>
        <w:pStyle w:val="Heading2"/>
      </w:pPr>
      <w:bookmarkStart w:id="19" w:name="_Toc225844969"/>
      <w:r>
        <w:t>Solvency Balan</w:t>
      </w:r>
      <w:r w:rsidR="00F3362A">
        <w:t>ce Sheet Reconciliation</w:t>
      </w:r>
      <w:bookmarkEnd w:id="19"/>
    </w:p>
    <w:p w14:paraId="17141121" w14:textId="7E8460BD" w:rsidR="00F3362A" w:rsidRPr="006E57CC" w:rsidRDefault="00030019" w:rsidP="00A10322">
      <w:pPr>
        <w:pStyle w:val="Bullet"/>
      </w:pPr>
      <w:r w:rsidRPr="006E57CC">
        <w:t xml:space="preserve">Lines 1 to 18 </w:t>
      </w:r>
      <w:r w:rsidR="009E0188" w:rsidRPr="006E57CC">
        <w:t>provide a reconciliation of the mem</w:t>
      </w:r>
      <w:r w:rsidR="00597809" w:rsidRPr="006E57CC">
        <w:t xml:space="preserve">bers’ balance by reporting year of account from </w:t>
      </w:r>
      <w:r w:rsidR="00106F92" w:rsidRPr="006E57CC">
        <w:t>UK</w:t>
      </w:r>
      <w:r w:rsidR="00237A37" w:rsidRPr="006E57CC">
        <w:t xml:space="preserve"> GAAP</w:t>
      </w:r>
      <w:r w:rsidR="00106F92" w:rsidRPr="006E57CC">
        <w:t xml:space="preserve"> to Solvency </w:t>
      </w:r>
      <w:r w:rsidR="007630E9" w:rsidRPr="006E57CC">
        <w:t>II</w:t>
      </w:r>
      <w:r w:rsidR="00237A37" w:rsidRPr="006E57CC">
        <w:t>.</w:t>
      </w:r>
      <w:r w:rsidR="007C67BB" w:rsidRPr="006E57CC">
        <w:t xml:space="preserve"> </w:t>
      </w:r>
    </w:p>
    <w:p w14:paraId="370756B9" w14:textId="639C5AB2" w:rsidR="00F3362A" w:rsidRPr="006E57CC" w:rsidRDefault="00956B3F" w:rsidP="00A10322">
      <w:pPr>
        <w:pStyle w:val="Bullet"/>
      </w:pPr>
      <w:r w:rsidRPr="006E57CC">
        <w:t xml:space="preserve">Funds in Syndicate (FIS) </w:t>
      </w:r>
      <w:r w:rsidR="00853401" w:rsidRPr="006E57CC">
        <w:t xml:space="preserve">should not be included </w:t>
      </w:r>
      <w:r w:rsidR="00160722">
        <w:t>on this template</w:t>
      </w:r>
      <w:r w:rsidR="00853401" w:rsidRPr="006E57CC">
        <w:t>.</w:t>
      </w:r>
    </w:p>
    <w:p w14:paraId="1CECFED8" w14:textId="3780205B" w:rsidR="00DA2805" w:rsidRPr="006E57CC" w:rsidRDefault="00E33D4D" w:rsidP="00A10322">
      <w:pPr>
        <w:pStyle w:val="Bullet"/>
      </w:pPr>
      <w:r w:rsidRPr="006E57CC">
        <w:t xml:space="preserve">The “Comments” column </w:t>
      </w:r>
      <w:r w:rsidR="00EF0E0C" w:rsidRPr="006E57CC">
        <w:t xml:space="preserve">should be populated for those lines where further explanation </w:t>
      </w:r>
      <w:r w:rsidR="00BE74AB" w:rsidRPr="006E57CC">
        <w:t>is considered necessary by managing agents</w:t>
      </w:r>
      <w:r w:rsidR="00A32DC5">
        <w:t>, for example,</w:t>
      </w:r>
      <w:r w:rsidR="00BE74AB" w:rsidRPr="006E57CC">
        <w:t xml:space="preserve"> where the signage of the adjustment </w:t>
      </w:r>
      <w:r w:rsidR="0033215A" w:rsidRPr="006E57CC">
        <w:t>is different from what would normally be expected</w:t>
      </w:r>
      <w:r w:rsidR="00A32DC5">
        <w:t xml:space="preserve">, </w:t>
      </w:r>
      <w:r w:rsidR="00484252" w:rsidRPr="006E57CC">
        <w:t xml:space="preserve">or </w:t>
      </w:r>
      <w:r w:rsidR="00DA2805" w:rsidRPr="006E57CC">
        <w:rPr>
          <w:lang w:eastAsia="en-US"/>
        </w:rPr>
        <w:t xml:space="preserve">to </w:t>
      </w:r>
      <w:r w:rsidR="00484252" w:rsidRPr="006E57CC">
        <w:rPr>
          <w:lang w:eastAsia="en-US"/>
        </w:rPr>
        <w:t>explain</w:t>
      </w:r>
      <w:r w:rsidR="006F2D8B" w:rsidRPr="006E57CC">
        <w:rPr>
          <w:lang w:eastAsia="en-US"/>
        </w:rPr>
        <w:t xml:space="preserve"> large</w:t>
      </w:r>
      <w:r w:rsidR="00484252" w:rsidRPr="006E57CC">
        <w:rPr>
          <w:lang w:eastAsia="en-US"/>
        </w:rPr>
        <w:t xml:space="preserve"> </w:t>
      </w:r>
      <w:r w:rsidR="00DA2805" w:rsidRPr="006E57CC">
        <w:rPr>
          <w:lang w:eastAsia="en-US"/>
        </w:rPr>
        <w:t>period on period</w:t>
      </w:r>
      <w:r w:rsidR="00484252" w:rsidRPr="006E57CC">
        <w:rPr>
          <w:lang w:eastAsia="en-US"/>
        </w:rPr>
        <w:t xml:space="preserve"> movements</w:t>
      </w:r>
      <w:r w:rsidR="00A32DC5">
        <w:rPr>
          <w:lang w:eastAsia="en-US"/>
        </w:rPr>
        <w:t>, such as those arising from</w:t>
      </w:r>
      <w:r w:rsidR="006F2D8B" w:rsidRPr="006E57CC">
        <w:rPr>
          <w:lang w:eastAsia="en-US"/>
        </w:rPr>
        <w:t xml:space="preserve"> changes in discount rates</w:t>
      </w:r>
      <w:r w:rsidR="00DA2805" w:rsidRPr="006E57CC">
        <w:rPr>
          <w:lang w:eastAsia="en-US"/>
        </w:rPr>
        <w:t xml:space="preserve">. </w:t>
      </w:r>
    </w:p>
    <w:tbl>
      <w:tblPr>
        <w:tblStyle w:val="GridTable1Light"/>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55"/>
        <w:gridCol w:w="2131"/>
        <w:gridCol w:w="5528"/>
      </w:tblGrid>
      <w:tr w:rsidR="009E079D" w:rsidRPr="003F4166" w14:paraId="133D5243" w14:textId="77777777" w:rsidTr="00C0138A">
        <w:trPr>
          <w:cantSplit/>
          <w:trHeight w:val="342"/>
          <w:tblHeader/>
        </w:trPr>
        <w:tc>
          <w:tcPr>
            <w:tcW w:w="1555" w:type="dxa"/>
            <w:shd w:val="clear" w:color="auto" w:fill="F2F2F2" w:themeFill="background1" w:themeFillShade="F2"/>
          </w:tcPr>
          <w:p w14:paraId="5A1E0FD1" w14:textId="77777777" w:rsidR="0060279E" w:rsidRPr="00625DCD" w:rsidRDefault="0060279E" w:rsidP="00605F86">
            <w:pPr>
              <w:widowControl w:val="0"/>
              <w:tabs>
                <w:tab w:val="clear" w:pos="5897"/>
                <w:tab w:val="left" w:pos="687"/>
                <w:tab w:val="left" w:pos="689"/>
              </w:tabs>
              <w:autoSpaceDE w:val="0"/>
              <w:autoSpaceDN w:val="0"/>
              <w:spacing w:beforeLines="40" w:before="96" w:afterLines="40" w:after="96" w:line="240" w:lineRule="auto"/>
              <w:ind w:right="174"/>
              <w:rPr>
                <w:rFonts w:eastAsia="Arial" w:cs="Arial"/>
                <w:b/>
                <w:bCs/>
                <w:szCs w:val="18"/>
                <w:lang w:eastAsia="en-US"/>
              </w:rPr>
            </w:pPr>
            <w:bookmarkStart w:id="20" w:name="_faf216bc_618e_4e3e_baa7_294a954e2d50"/>
            <w:bookmarkStart w:id="21" w:name="_2427e8e7_bd07_4bcb_b8f5_c152efa55e19"/>
            <w:bookmarkStart w:id="22" w:name="_0fc63f22_9e89_4e10_9e93_09147e37f4af"/>
            <w:bookmarkEnd w:id="20"/>
            <w:bookmarkEnd w:id="21"/>
            <w:r w:rsidRPr="005136C1">
              <w:rPr>
                <w:rFonts w:eastAsia="Arial" w:cs="Arial"/>
                <w:b/>
                <w:bCs/>
                <w:szCs w:val="18"/>
                <w:lang w:eastAsia="en-US"/>
              </w:rPr>
              <w:t xml:space="preserve">Line </w:t>
            </w:r>
            <w:r>
              <w:rPr>
                <w:rFonts w:eastAsia="Arial" w:cs="Arial"/>
                <w:b/>
                <w:bCs/>
                <w:szCs w:val="18"/>
                <w:lang w:eastAsia="en-US"/>
              </w:rPr>
              <w:t>number</w:t>
            </w:r>
          </w:p>
        </w:tc>
        <w:tc>
          <w:tcPr>
            <w:tcW w:w="2131" w:type="dxa"/>
            <w:shd w:val="clear" w:color="auto" w:fill="F2F2F2" w:themeFill="background1" w:themeFillShade="F2"/>
          </w:tcPr>
          <w:p w14:paraId="4E51AAB7" w14:textId="77777777" w:rsidR="0060279E" w:rsidRPr="00625DCD" w:rsidRDefault="0060279E" w:rsidP="00605F86">
            <w:pPr>
              <w:widowControl w:val="0"/>
              <w:tabs>
                <w:tab w:val="clear" w:pos="5897"/>
                <w:tab w:val="left" w:pos="687"/>
                <w:tab w:val="left" w:pos="689"/>
              </w:tabs>
              <w:autoSpaceDE w:val="0"/>
              <w:autoSpaceDN w:val="0"/>
              <w:spacing w:beforeLines="40" w:before="96" w:afterLines="40" w:after="96" w:line="240" w:lineRule="auto"/>
              <w:ind w:right="174"/>
              <w:rPr>
                <w:rFonts w:eastAsia="Arial" w:cs="Arial"/>
                <w:b/>
                <w:bCs/>
                <w:szCs w:val="18"/>
                <w:lang w:eastAsia="en-US"/>
              </w:rPr>
            </w:pPr>
            <w:r>
              <w:rPr>
                <w:rFonts w:eastAsia="Arial" w:cs="Arial"/>
                <w:b/>
                <w:bCs/>
                <w:szCs w:val="18"/>
                <w:lang w:eastAsia="en-US"/>
              </w:rPr>
              <w:t>Line</w:t>
            </w:r>
            <w:r w:rsidRPr="00625DCD">
              <w:rPr>
                <w:rFonts w:eastAsia="Arial" w:cs="Arial"/>
                <w:b/>
                <w:bCs/>
                <w:szCs w:val="18"/>
                <w:lang w:eastAsia="en-US"/>
              </w:rPr>
              <w:t xml:space="preserve"> description</w:t>
            </w:r>
          </w:p>
        </w:tc>
        <w:tc>
          <w:tcPr>
            <w:tcW w:w="5528" w:type="dxa"/>
            <w:shd w:val="clear" w:color="auto" w:fill="F2F2F2" w:themeFill="background1" w:themeFillShade="F2"/>
          </w:tcPr>
          <w:p w14:paraId="2E0F1249" w14:textId="2A2E8118" w:rsidR="0060279E" w:rsidRPr="00625DCD" w:rsidRDefault="0060279E" w:rsidP="00605F86">
            <w:pPr>
              <w:widowControl w:val="0"/>
              <w:tabs>
                <w:tab w:val="clear" w:pos="5897"/>
                <w:tab w:val="left" w:pos="687"/>
                <w:tab w:val="left" w:pos="689"/>
              </w:tabs>
              <w:autoSpaceDE w:val="0"/>
              <w:autoSpaceDN w:val="0"/>
              <w:spacing w:beforeLines="40" w:before="96" w:afterLines="40" w:after="96" w:line="240" w:lineRule="auto"/>
              <w:ind w:right="174"/>
              <w:rPr>
                <w:rFonts w:eastAsia="Arial" w:cs="Arial"/>
                <w:b/>
                <w:bCs/>
                <w:szCs w:val="18"/>
                <w:lang w:eastAsia="en-US"/>
              </w:rPr>
            </w:pPr>
            <w:r>
              <w:rPr>
                <w:rFonts w:eastAsia="Arial" w:cs="Arial"/>
                <w:b/>
                <w:bCs/>
                <w:szCs w:val="18"/>
                <w:lang w:eastAsia="en-US"/>
              </w:rPr>
              <w:t>Instruction</w:t>
            </w:r>
          </w:p>
        </w:tc>
      </w:tr>
      <w:tr w:rsidR="0060279E" w:rsidRPr="003F4166" w14:paraId="223FA37A" w14:textId="77777777" w:rsidTr="00F3312B">
        <w:trPr>
          <w:cantSplit/>
          <w:trHeight w:val="307"/>
        </w:trPr>
        <w:tc>
          <w:tcPr>
            <w:tcW w:w="1555" w:type="dxa"/>
          </w:tcPr>
          <w:p w14:paraId="3289A2B7" w14:textId="77777777" w:rsidR="0060279E" w:rsidRDefault="0060279E" w:rsidP="00605F86">
            <w:pPr>
              <w:widowControl w:val="0"/>
              <w:tabs>
                <w:tab w:val="clear" w:pos="5897"/>
                <w:tab w:val="left" w:pos="687"/>
                <w:tab w:val="left" w:pos="689"/>
              </w:tabs>
              <w:autoSpaceDE w:val="0"/>
              <w:autoSpaceDN w:val="0"/>
              <w:spacing w:beforeLines="40" w:before="96" w:afterLines="40" w:after="96" w:line="240" w:lineRule="auto"/>
              <w:ind w:right="174"/>
              <w:rPr>
                <w:rFonts w:eastAsia="Arial" w:cs="Arial"/>
                <w:szCs w:val="18"/>
                <w:lang w:eastAsia="en-US"/>
              </w:rPr>
            </w:pPr>
            <w:r>
              <w:rPr>
                <w:rFonts w:eastAsia="Arial" w:cs="Arial"/>
                <w:szCs w:val="18"/>
                <w:lang w:eastAsia="en-US"/>
              </w:rPr>
              <w:t>Line 1a</w:t>
            </w:r>
          </w:p>
        </w:tc>
        <w:tc>
          <w:tcPr>
            <w:tcW w:w="2131" w:type="dxa"/>
          </w:tcPr>
          <w:p w14:paraId="6534202B" w14:textId="01430C7B" w:rsidR="0060279E" w:rsidRPr="002C2F1B" w:rsidRDefault="0060279E" w:rsidP="00605F86">
            <w:pPr>
              <w:widowControl w:val="0"/>
              <w:tabs>
                <w:tab w:val="clear" w:pos="5897"/>
                <w:tab w:val="left" w:pos="687"/>
                <w:tab w:val="left" w:pos="689"/>
              </w:tabs>
              <w:autoSpaceDE w:val="0"/>
              <w:autoSpaceDN w:val="0"/>
              <w:spacing w:beforeLines="40" w:before="96" w:afterLines="40" w:after="96" w:line="240" w:lineRule="auto"/>
              <w:ind w:right="174"/>
              <w:rPr>
                <w:rFonts w:eastAsia="Arial" w:cs="Arial"/>
                <w:szCs w:val="18"/>
                <w:lang w:eastAsia="en-US"/>
              </w:rPr>
            </w:pPr>
            <w:r>
              <w:rPr>
                <w:rFonts w:eastAsia="Arial" w:cs="Arial"/>
                <w:szCs w:val="18"/>
                <w:lang w:eastAsia="en-US"/>
              </w:rPr>
              <w:t>UK GAAP – Excess of assets over liabilities (excluding FIS)</w:t>
            </w:r>
          </w:p>
        </w:tc>
        <w:tc>
          <w:tcPr>
            <w:tcW w:w="5528" w:type="dxa"/>
          </w:tcPr>
          <w:p w14:paraId="1BC2FBB9" w14:textId="2BC7BFD2" w:rsidR="0060279E" w:rsidRPr="00F3312B" w:rsidRDefault="0060279E" w:rsidP="00F3312B">
            <w:pPr>
              <w:spacing w:before="40" w:after="40" w:line="240" w:lineRule="auto"/>
              <w:rPr>
                <w:rFonts w:cs="Arial"/>
                <w:color w:val="FF0000"/>
              </w:rPr>
            </w:pPr>
            <w:r>
              <w:rPr>
                <w:rFonts w:cs="Arial"/>
              </w:rPr>
              <w:t xml:space="preserve">This is the Statutory accounts value reported in the annual IR.02.01.01 R1000/C0020 </w:t>
            </w:r>
            <w:r w:rsidR="00CF061C" w:rsidRPr="00CF061C">
              <w:rPr>
                <w:rFonts w:cs="Arial"/>
              </w:rPr>
              <w:t xml:space="preserve">or equivalent for quarterly submissions </w:t>
            </w:r>
            <w:r>
              <w:rPr>
                <w:rFonts w:cs="Arial"/>
              </w:rPr>
              <w:t>(</w:t>
            </w:r>
            <w:r w:rsidR="00EE64BB">
              <w:rPr>
                <w:rFonts w:cs="Arial"/>
              </w:rPr>
              <w:t>excluding</w:t>
            </w:r>
            <w:r>
              <w:rPr>
                <w:rFonts w:cs="Arial"/>
              </w:rPr>
              <w:t xml:space="preserve"> FIS). </w:t>
            </w:r>
          </w:p>
        </w:tc>
      </w:tr>
      <w:tr w:rsidR="0060279E" w:rsidRPr="003F4166" w14:paraId="14A02FD1" w14:textId="77777777" w:rsidTr="00F3312B">
        <w:trPr>
          <w:cantSplit/>
          <w:trHeight w:val="307"/>
        </w:trPr>
        <w:tc>
          <w:tcPr>
            <w:tcW w:w="1555" w:type="dxa"/>
          </w:tcPr>
          <w:p w14:paraId="7E6F4CCB" w14:textId="77777777" w:rsidR="0060279E" w:rsidRDefault="0060279E" w:rsidP="00605F86">
            <w:pPr>
              <w:widowControl w:val="0"/>
              <w:tabs>
                <w:tab w:val="clear" w:pos="5897"/>
                <w:tab w:val="left" w:pos="687"/>
                <w:tab w:val="left" w:pos="689"/>
              </w:tabs>
              <w:autoSpaceDE w:val="0"/>
              <w:autoSpaceDN w:val="0"/>
              <w:spacing w:beforeLines="40" w:before="96" w:afterLines="40" w:after="96" w:line="240" w:lineRule="auto"/>
              <w:ind w:right="174"/>
              <w:rPr>
                <w:rFonts w:eastAsia="Arial" w:cs="Arial"/>
                <w:szCs w:val="18"/>
                <w:lang w:eastAsia="en-US"/>
              </w:rPr>
            </w:pPr>
            <w:r>
              <w:rPr>
                <w:rFonts w:eastAsia="Arial" w:cs="Arial"/>
                <w:szCs w:val="18"/>
                <w:lang w:eastAsia="en-US"/>
              </w:rPr>
              <w:t>Line 1b</w:t>
            </w:r>
          </w:p>
        </w:tc>
        <w:tc>
          <w:tcPr>
            <w:tcW w:w="2131" w:type="dxa"/>
          </w:tcPr>
          <w:p w14:paraId="0EE200E9" w14:textId="77777777" w:rsidR="0060279E" w:rsidRPr="002C2F1B" w:rsidRDefault="0060279E" w:rsidP="00605F86">
            <w:pPr>
              <w:widowControl w:val="0"/>
              <w:tabs>
                <w:tab w:val="clear" w:pos="5897"/>
                <w:tab w:val="left" w:pos="687"/>
                <w:tab w:val="left" w:pos="689"/>
              </w:tabs>
              <w:autoSpaceDE w:val="0"/>
              <w:autoSpaceDN w:val="0"/>
              <w:spacing w:beforeLines="40" w:before="96" w:afterLines="40" w:after="96" w:line="240" w:lineRule="auto"/>
              <w:ind w:right="174"/>
              <w:rPr>
                <w:rFonts w:eastAsia="Arial" w:cs="Arial"/>
                <w:szCs w:val="18"/>
                <w:lang w:eastAsia="en-US"/>
              </w:rPr>
            </w:pPr>
            <w:r>
              <w:rPr>
                <w:rFonts w:eastAsia="Arial" w:cs="Arial"/>
                <w:szCs w:val="18"/>
                <w:lang w:eastAsia="en-US"/>
              </w:rPr>
              <w:t>Amounts due (to)/from members</w:t>
            </w:r>
          </w:p>
        </w:tc>
        <w:tc>
          <w:tcPr>
            <w:tcW w:w="5528" w:type="dxa"/>
          </w:tcPr>
          <w:p w14:paraId="0F49932F" w14:textId="77777777" w:rsidR="0060279E" w:rsidRDefault="0060279E" w:rsidP="00F3312B">
            <w:pPr>
              <w:spacing w:before="40" w:after="40" w:line="240" w:lineRule="auto"/>
              <w:rPr>
                <w:rFonts w:cs="Arial"/>
              </w:rPr>
            </w:pPr>
            <w:r>
              <w:rPr>
                <w:rFonts w:cs="Arial"/>
              </w:rPr>
              <w:t xml:space="preserve">Amounts due to or from members are reported here to arrive at members’ balance by YoA for the purpose of quarterly member solvency tests. If amounts due to or from members are already included in the line above for the open years of account, no further adjustment is required here. </w:t>
            </w:r>
          </w:p>
        </w:tc>
      </w:tr>
      <w:tr w:rsidR="0060279E" w:rsidRPr="003F4166" w14:paraId="22C212B9" w14:textId="77777777" w:rsidTr="00F3312B">
        <w:trPr>
          <w:cantSplit/>
          <w:trHeight w:val="307"/>
        </w:trPr>
        <w:tc>
          <w:tcPr>
            <w:tcW w:w="1555" w:type="dxa"/>
          </w:tcPr>
          <w:p w14:paraId="6057322D" w14:textId="77777777" w:rsidR="0060279E" w:rsidRPr="005C7C96" w:rsidRDefault="0060279E" w:rsidP="00605F86">
            <w:pPr>
              <w:widowControl w:val="0"/>
              <w:tabs>
                <w:tab w:val="clear" w:pos="5897"/>
                <w:tab w:val="left" w:pos="687"/>
                <w:tab w:val="left" w:pos="689"/>
              </w:tabs>
              <w:autoSpaceDE w:val="0"/>
              <w:autoSpaceDN w:val="0"/>
              <w:spacing w:beforeLines="40" w:before="96" w:afterLines="40" w:after="96" w:line="240" w:lineRule="auto"/>
              <w:ind w:right="174"/>
              <w:rPr>
                <w:rFonts w:eastAsia="Arial" w:cs="Arial"/>
                <w:szCs w:val="18"/>
                <w:lang w:eastAsia="en-US"/>
              </w:rPr>
            </w:pPr>
            <w:r>
              <w:rPr>
                <w:rFonts w:eastAsia="Arial" w:cs="Arial"/>
                <w:szCs w:val="18"/>
                <w:lang w:eastAsia="en-US"/>
              </w:rPr>
              <w:t>Line 1c</w:t>
            </w:r>
          </w:p>
        </w:tc>
        <w:tc>
          <w:tcPr>
            <w:tcW w:w="2131" w:type="dxa"/>
          </w:tcPr>
          <w:p w14:paraId="0C2CCC9B" w14:textId="334EE81A" w:rsidR="0060279E" w:rsidRPr="005C7C96" w:rsidRDefault="0060279E" w:rsidP="00605F86">
            <w:pPr>
              <w:widowControl w:val="0"/>
              <w:tabs>
                <w:tab w:val="clear" w:pos="5897"/>
                <w:tab w:val="left" w:pos="687"/>
                <w:tab w:val="left" w:pos="689"/>
              </w:tabs>
              <w:autoSpaceDE w:val="0"/>
              <w:autoSpaceDN w:val="0"/>
              <w:spacing w:beforeLines="40" w:before="96" w:afterLines="40" w:after="96" w:line="240" w:lineRule="auto"/>
              <w:ind w:right="174"/>
              <w:rPr>
                <w:rFonts w:eastAsia="Arial" w:cs="Arial"/>
                <w:szCs w:val="18"/>
                <w:lang w:eastAsia="en-US"/>
              </w:rPr>
            </w:pPr>
            <w:r w:rsidRPr="002C2F1B">
              <w:rPr>
                <w:rFonts w:eastAsia="Arial" w:cs="Arial"/>
                <w:szCs w:val="18"/>
                <w:lang w:eastAsia="en-US"/>
              </w:rPr>
              <w:t>UK</w:t>
            </w:r>
            <w:r>
              <w:rPr>
                <w:rFonts w:eastAsia="Arial" w:cs="Arial"/>
                <w:szCs w:val="18"/>
                <w:lang w:eastAsia="en-US"/>
              </w:rPr>
              <w:t xml:space="preserve"> </w:t>
            </w:r>
            <w:r w:rsidRPr="002C2F1B">
              <w:rPr>
                <w:rFonts w:eastAsia="Arial" w:cs="Arial"/>
                <w:szCs w:val="18"/>
                <w:lang w:eastAsia="en-US"/>
              </w:rPr>
              <w:t>GAAP</w:t>
            </w:r>
            <w:r>
              <w:rPr>
                <w:rFonts w:eastAsia="Arial" w:cs="Arial"/>
                <w:szCs w:val="18"/>
                <w:lang w:eastAsia="en-US"/>
              </w:rPr>
              <w:t xml:space="preserve"> </w:t>
            </w:r>
            <w:r w:rsidRPr="002C2F1B">
              <w:rPr>
                <w:rFonts w:eastAsia="Arial" w:cs="Arial"/>
                <w:szCs w:val="18"/>
                <w:lang w:eastAsia="en-US"/>
              </w:rPr>
              <w:t>members' balance</w:t>
            </w:r>
            <w:r>
              <w:rPr>
                <w:rFonts w:eastAsia="Arial" w:cs="Arial"/>
                <w:szCs w:val="18"/>
                <w:lang w:eastAsia="en-US"/>
              </w:rPr>
              <w:t xml:space="preserve"> (excluding  FIS)</w:t>
            </w:r>
          </w:p>
        </w:tc>
        <w:tc>
          <w:tcPr>
            <w:tcW w:w="5528" w:type="dxa"/>
          </w:tcPr>
          <w:p w14:paraId="2261F35E" w14:textId="7EBF13C5" w:rsidR="0060279E" w:rsidRPr="005C7C96" w:rsidRDefault="0060279E" w:rsidP="00F3312B">
            <w:pPr>
              <w:spacing w:before="40" w:after="40" w:line="240" w:lineRule="auto"/>
              <w:rPr>
                <w:rFonts w:eastAsia="Arial" w:cs="Arial"/>
                <w:szCs w:val="18"/>
                <w:lang w:eastAsia="en-US"/>
              </w:rPr>
            </w:pPr>
            <w:r>
              <w:rPr>
                <w:rFonts w:cs="Arial"/>
              </w:rPr>
              <w:t xml:space="preserve">The amount for each open year of account must agree to members’ balances in the UK GAAP balance sheet. </w:t>
            </w:r>
            <w:r w:rsidRPr="003E3EF7">
              <w:rPr>
                <w:rFonts w:cs="Arial"/>
              </w:rPr>
              <w:t>Only balances attributable to the members of each open YOA are expected to be reported here. Therefore</w:t>
            </w:r>
            <w:r>
              <w:rPr>
                <w:rFonts w:cs="Arial"/>
              </w:rPr>
              <w:t>,</w:t>
            </w:r>
            <w:r w:rsidRPr="003E3EF7">
              <w:rPr>
                <w:rFonts w:cs="Arial"/>
              </w:rPr>
              <w:t xml:space="preserve"> in respect of Q1 reporting, the amounts reported in this line should not include </w:t>
            </w:r>
            <w:r w:rsidR="00FD6514">
              <w:rPr>
                <w:rFonts w:cs="Arial"/>
              </w:rPr>
              <w:t xml:space="preserve">undistributed/uncollected </w:t>
            </w:r>
            <w:r w:rsidRPr="003E3EF7">
              <w:rPr>
                <w:rFonts w:cs="Arial"/>
              </w:rPr>
              <w:t>balances for closed years of account that are not attributable to the members of the open years of account.</w:t>
            </w:r>
          </w:p>
        </w:tc>
      </w:tr>
      <w:tr w:rsidR="0060279E" w:rsidRPr="00D87146" w14:paraId="57ADAC32" w14:textId="77777777" w:rsidTr="00F3312B">
        <w:trPr>
          <w:cantSplit/>
          <w:trHeight w:val="307"/>
        </w:trPr>
        <w:tc>
          <w:tcPr>
            <w:tcW w:w="1555" w:type="dxa"/>
          </w:tcPr>
          <w:p w14:paraId="0A55182E" w14:textId="77777777" w:rsidR="0060279E" w:rsidRPr="005C7C96" w:rsidRDefault="0060279E" w:rsidP="00605F86">
            <w:pPr>
              <w:tabs>
                <w:tab w:val="left" w:pos="687"/>
                <w:tab w:val="left" w:pos="689"/>
              </w:tabs>
              <w:spacing w:beforeLines="40" w:before="96" w:afterLines="40" w:after="96" w:line="240" w:lineRule="auto"/>
              <w:ind w:right="174"/>
              <w:rPr>
                <w:szCs w:val="18"/>
              </w:rPr>
            </w:pPr>
            <w:r>
              <w:rPr>
                <w:szCs w:val="18"/>
              </w:rPr>
              <w:t>Line 2</w:t>
            </w:r>
          </w:p>
        </w:tc>
        <w:tc>
          <w:tcPr>
            <w:tcW w:w="2131" w:type="dxa"/>
          </w:tcPr>
          <w:p w14:paraId="7D8D4F6F" w14:textId="77777777" w:rsidR="0060279E" w:rsidRPr="005C7C96" w:rsidRDefault="0060279E" w:rsidP="00605F86">
            <w:pPr>
              <w:tabs>
                <w:tab w:val="left" w:pos="687"/>
                <w:tab w:val="left" w:pos="689"/>
              </w:tabs>
              <w:spacing w:beforeLines="40" w:before="96" w:afterLines="40" w:after="96" w:line="240" w:lineRule="auto"/>
              <w:ind w:right="174"/>
              <w:rPr>
                <w:szCs w:val="18"/>
              </w:rPr>
            </w:pPr>
            <w:r w:rsidRPr="00970F49">
              <w:rPr>
                <w:szCs w:val="18"/>
              </w:rPr>
              <w:t>Elimination of 100% unearned premium reserve (UPR) requirement (net of RI UPR)</w:t>
            </w:r>
          </w:p>
        </w:tc>
        <w:tc>
          <w:tcPr>
            <w:tcW w:w="5528" w:type="dxa"/>
          </w:tcPr>
          <w:p w14:paraId="312D5467" w14:textId="457E065E" w:rsidR="0060279E" w:rsidRDefault="0060279E" w:rsidP="00605F86">
            <w:pPr>
              <w:tabs>
                <w:tab w:val="left" w:pos="687"/>
                <w:tab w:val="left" w:pos="689"/>
              </w:tabs>
              <w:spacing w:beforeLines="40" w:before="96" w:afterLines="40" w:after="96" w:line="240" w:lineRule="auto"/>
              <w:ind w:right="174"/>
              <w:rPr>
                <w:szCs w:val="18"/>
              </w:rPr>
            </w:pPr>
            <w:r w:rsidRPr="00A80FB0">
              <w:rPr>
                <w:szCs w:val="18"/>
              </w:rPr>
              <w:t>The UPR provision (net of reinsurers’ share) is a UK GAAP item and is not relevant for Solvency II</w:t>
            </w:r>
            <w:r w:rsidR="009B4E06">
              <w:rPr>
                <w:szCs w:val="18"/>
              </w:rPr>
              <w:t xml:space="preserve"> and is therefore eliminated</w:t>
            </w:r>
            <w:r w:rsidRPr="00A80FB0">
              <w:rPr>
                <w:szCs w:val="18"/>
              </w:rPr>
              <w:t xml:space="preserve">. </w:t>
            </w:r>
          </w:p>
          <w:p w14:paraId="330BCFA8" w14:textId="537EB9ED" w:rsidR="0060279E" w:rsidRDefault="0060279E" w:rsidP="00605F86">
            <w:pPr>
              <w:tabs>
                <w:tab w:val="left" w:pos="687"/>
                <w:tab w:val="left" w:pos="689"/>
              </w:tabs>
              <w:spacing w:beforeLines="40" w:before="96" w:afterLines="40" w:after="96" w:line="240" w:lineRule="auto"/>
              <w:ind w:right="174"/>
              <w:rPr>
                <w:szCs w:val="18"/>
              </w:rPr>
            </w:pPr>
            <w:r w:rsidRPr="008F7ED1">
              <w:rPr>
                <w:szCs w:val="18"/>
              </w:rPr>
              <w:t xml:space="preserve">The total amount for all the years of account </w:t>
            </w:r>
            <w:r>
              <w:rPr>
                <w:szCs w:val="18"/>
              </w:rPr>
              <w:t>must</w:t>
            </w:r>
            <w:r w:rsidRPr="008F7ED1">
              <w:rPr>
                <w:szCs w:val="18"/>
              </w:rPr>
              <w:t xml:space="preserve"> agree to the net </w:t>
            </w:r>
            <w:r>
              <w:rPr>
                <w:szCs w:val="18"/>
              </w:rPr>
              <w:t xml:space="preserve">of reinsurance </w:t>
            </w:r>
            <w:r w:rsidRPr="008F7ED1">
              <w:rPr>
                <w:szCs w:val="18"/>
              </w:rPr>
              <w:t xml:space="preserve">amount of </w:t>
            </w:r>
            <w:r>
              <w:rPr>
                <w:szCs w:val="18"/>
              </w:rPr>
              <w:t>the p</w:t>
            </w:r>
            <w:r w:rsidRPr="008F7ED1">
              <w:rPr>
                <w:szCs w:val="18"/>
              </w:rPr>
              <w:t>rovision for unearned premiums</w:t>
            </w:r>
            <w:r>
              <w:rPr>
                <w:szCs w:val="18"/>
              </w:rPr>
              <w:t xml:space="preserve"> shown on the UK GAAP balance sheet</w:t>
            </w:r>
            <w:r w:rsidRPr="008F7ED1">
              <w:rPr>
                <w:szCs w:val="18"/>
              </w:rPr>
              <w:t>.</w:t>
            </w:r>
          </w:p>
          <w:p w14:paraId="672A2A82" w14:textId="0E360CF9" w:rsidR="0060279E" w:rsidRPr="005C7C96" w:rsidRDefault="0060279E" w:rsidP="00605F86">
            <w:pPr>
              <w:tabs>
                <w:tab w:val="left" w:pos="687"/>
                <w:tab w:val="left" w:pos="689"/>
              </w:tabs>
              <w:spacing w:beforeLines="40" w:before="96" w:afterLines="40" w:after="96" w:line="240" w:lineRule="auto"/>
              <w:ind w:right="174"/>
              <w:rPr>
                <w:szCs w:val="18"/>
              </w:rPr>
            </w:pPr>
            <w:r>
              <w:rPr>
                <w:szCs w:val="18"/>
              </w:rPr>
              <w:t xml:space="preserve">The elimination would usually be expected to be a positive amount </w:t>
            </w:r>
            <w:r w:rsidRPr="00254A0F">
              <w:rPr>
                <w:szCs w:val="18"/>
              </w:rPr>
              <w:t xml:space="preserve">(and hence </w:t>
            </w:r>
            <w:r w:rsidR="004948AB">
              <w:rPr>
                <w:szCs w:val="18"/>
              </w:rPr>
              <w:t xml:space="preserve">have </w:t>
            </w:r>
            <w:r w:rsidRPr="00254A0F">
              <w:rPr>
                <w:szCs w:val="18"/>
              </w:rPr>
              <w:t>a favourable impact on the members’ balance)</w:t>
            </w:r>
            <w:r>
              <w:rPr>
                <w:szCs w:val="18"/>
              </w:rPr>
              <w:t>.</w:t>
            </w:r>
          </w:p>
        </w:tc>
      </w:tr>
      <w:tr w:rsidR="0060279E" w:rsidRPr="00D87146" w14:paraId="63354476" w14:textId="77777777" w:rsidTr="00F3312B">
        <w:trPr>
          <w:cantSplit/>
          <w:trHeight w:val="307"/>
        </w:trPr>
        <w:tc>
          <w:tcPr>
            <w:tcW w:w="1555" w:type="dxa"/>
          </w:tcPr>
          <w:p w14:paraId="3CB3D461" w14:textId="3FAF8B5F" w:rsidR="0060279E" w:rsidRPr="005C7C96" w:rsidRDefault="0060279E" w:rsidP="00605F86">
            <w:pPr>
              <w:tabs>
                <w:tab w:val="left" w:pos="687"/>
                <w:tab w:val="left" w:pos="689"/>
              </w:tabs>
              <w:spacing w:beforeLines="40" w:before="96" w:afterLines="40" w:after="96" w:line="240" w:lineRule="auto"/>
              <w:ind w:right="174"/>
              <w:rPr>
                <w:szCs w:val="18"/>
              </w:rPr>
            </w:pPr>
            <w:r>
              <w:rPr>
                <w:szCs w:val="18"/>
              </w:rPr>
              <w:t>Line 3</w:t>
            </w:r>
          </w:p>
        </w:tc>
        <w:tc>
          <w:tcPr>
            <w:tcW w:w="2131" w:type="dxa"/>
          </w:tcPr>
          <w:p w14:paraId="59E75B63" w14:textId="77777777" w:rsidR="0060279E" w:rsidRPr="005C7C96" w:rsidRDefault="0060279E" w:rsidP="00605F86">
            <w:pPr>
              <w:tabs>
                <w:tab w:val="left" w:pos="687"/>
                <w:tab w:val="left" w:pos="689"/>
              </w:tabs>
              <w:spacing w:beforeLines="40" w:before="96" w:afterLines="40" w:after="96" w:line="240" w:lineRule="auto"/>
              <w:ind w:right="174"/>
              <w:rPr>
                <w:szCs w:val="18"/>
              </w:rPr>
            </w:pPr>
            <w:r w:rsidRPr="00970F49">
              <w:rPr>
                <w:szCs w:val="18"/>
              </w:rPr>
              <w:t>Elimination of deferred acquisition cost (DAC) (net of RI DAC)</w:t>
            </w:r>
          </w:p>
        </w:tc>
        <w:tc>
          <w:tcPr>
            <w:tcW w:w="5528" w:type="dxa"/>
          </w:tcPr>
          <w:p w14:paraId="76B0ECD3" w14:textId="77777777" w:rsidR="005763A2" w:rsidRDefault="005763A2" w:rsidP="00605F86">
            <w:pPr>
              <w:tabs>
                <w:tab w:val="left" w:pos="687"/>
                <w:tab w:val="left" w:pos="689"/>
              </w:tabs>
              <w:spacing w:beforeLines="40" w:before="96" w:afterLines="40" w:after="96" w:line="240" w:lineRule="auto"/>
              <w:ind w:right="174"/>
              <w:rPr>
                <w:szCs w:val="18"/>
              </w:rPr>
            </w:pPr>
            <w:r w:rsidRPr="005763A2">
              <w:rPr>
                <w:szCs w:val="18"/>
              </w:rPr>
              <w:t xml:space="preserve">There is no DAC under Solvency II, thus the net DAC amount needs to be eliminated on this line. </w:t>
            </w:r>
          </w:p>
          <w:p w14:paraId="1BA9D01D" w14:textId="12AC4A74" w:rsidR="0060279E" w:rsidRDefault="0060279E" w:rsidP="00605F86">
            <w:pPr>
              <w:tabs>
                <w:tab w:val="left" w:pos="687"/>
                <w:tab w:val="left" w:pos="689"/>
              </w:tabs>
              <w:spacing w:beforeLines="40" w:before="96" w:afterLines="40" w:after="96" w:line="240" w:lineRule="auto"/>
              <w:ind w:right="174"/>
              <w:rPr>
                <w:szCs w:val="18"/>
              </w:rPr>
            </w:pPr>
            <w:r w:rsidRPr="008F7ED1">
              <w:rPr>
                <w:szCs w:val="18"/>
              </w:rPr>
              <w:t xml:space="preserve">The total amount for all the years of account </w:t>
            </w:r>
            <w:r>
              <w:rPr>
                <w:szCs w:val="18"/>
              </w:rPr>
              <w:t>must</w:t>
            </w:r>
            <w:r w:rsidRPr="008F7ED1">
              <w:rPr>
                <w:szCs w:val="18"/>
              </w:rPr>
              <w:t xml:space="preserve"> agree to the net </w:t>
            </w:r>
            <w:r>
              <w:rPr>
                <w:szCs w:val="18"/>
              </w:rPr>
              <w:t xml:space="preserve">of reinsurance </w:t>
            </w:r>
            <w:r w:rsidRPr="008F7ED1">
              <w:rPr>
                <w:szCs w:val="18"/>
              </w:rPr>
              <w:t xml:space="preserve">amount of </w:t>
            </w:r>
            <w:r>
              <w:rPr>
                <w:szCs w:val="18"/>
              </w:rPr>
              <w:t>DAC shown on the UK GAAP balance sheet</w:t>
            </w:r>
            <w:r w:rsidRPr="008F7ED1">
              <w:rPr>
                <w:szCs w:val="18"/>
              </w:rPr>
              <w:t>.</w:t>
            </w:r>
          </w:p>
          <w:p w14:paraId="4334FF5C" w14:textId="21FBBD4F" w:rsidR="0060279E" w:rsidRPr="005C7C96" w:rsidRDefault="0060279E" w:rsidP="005763A2">
            <w:pPr>
              <w:tabs>
                <w:tab w:val="left" w:pos="687"/>
                <w:tab w:val="left" w:pos="689"/>
              </w:tabs>
              <w:spacing w:beforeLines="40" w:before="96" w:afterLines="40" w:after="96" w:line="240" w:lineRule="auto"/>
              <w:ind w:right="174"/>
              <w:rPr>
                <w:szCs w:val="18"/>
              </w:rPr>
            </w:pPr>
            <w:r>
              <w:rPr>
                <w:szCs w:val="18"/>
              </w:rPr>
              <w:t xml:space="preserve">The elimination would usually be expected to be a </w:t>
            </w:r>
            <w:r w:rsidR="00D5523B">
              <w:rPr>
                <w:szCs w:val="18"/>
              </w:rPr>
              <w:t xml:space="preserve">negative </w:t>
            </w:r>
            <w:r>
              <w:rPr>
                <w:szCs w:val="18"/>
              </w:rPr>
              <w:t xml:space="preserve">amount </w:t>
            </w:r>
            <w:r w:rsidRPr="00254A0F">
              <w:rPr>
                <w:szCs w:val="18"/>
              </w:rPr>
              <w:t xml:space="preserve">(and hence </w:t>
            </w:r>
            <w:r w:rsidR="004B70DF">
              <w:rPr>
                <w:szCs w:val="18"/>
              </w:rPr>
              <w:t xml:space="preserve">have </w:t>
            </w:r>
            <w:r w:rsidR="00D5523B">
              <w:rPr>
                <w:szCs w:val="18"/>
              </w:rPr>
              <w:t>an adverse</w:t>
            </w:r>
            <w:r w:rsidRPr="00254A0F">
              <w:rPr>
                <w:szCs w:val="18"/>
              </w:rPr>
              <w:t xml:space="preserve"> impact on the members’ balance)</w:t>
            </w:r>
            <w:r>
              <w:rPr>
                <w:szCs w:val="18"/>
              </w:rPr>
              <w:t>.</w:t>
            </w:r>
          </w:p>
        </w:tc>
      </w:tr>
      <w:tr w:rsidR="0060279E" w:rsidRPr="00D87146" w14:paraId="0769F16B" w14:textId="77777777" w:rsidTr="00F3312B">
        <w:trPr>
          <w:cantSplit/>
          <w:trHeight w:val="307"/>
        </w:trPr>
        <w:tc>
          <w:tcPr>
            <w:tcW w:w="1555" w:type="dxa"/>
          </w:tcPr>
          <w:p w14:paraId="0D904D1E" w14:textId="77777777" w:rsidR="0060279E" w:rsidRPr="005C7C96" w:rsidRDefault="0060279E" w:rsidP="00605F86">
            <w:pPr>
              <w:tabs>
                <w:tab w:val="left" w:pos="687"/>
                <w:tab w:val="left" w:pos="689"/>
              </w:tabs>
              <w:spacing w:beforeLines="40" w:before="96" w:afterLines="40" w:after="96" w:line="240" w:lineRule="auto"/>
              <w:ind w:right="174"/>
              <w:rPr>
                <w:szCs w:val="18"/>
              </w:rPr>
            </w:pPr>
            <w:r>
              <w:rPr>
                <w:szCs w:val="18"/>
              </w:rPr>
              <w:lastRenderedPageBreak/>
              <w:t>Line 4</w:t>
            </w:r>
          </w:p>
        </w:tc>
        <w:tc>
          <w:tcPr>
            <w:tcW w:w="2131" w:type="dxa"/>
          </w:tcPr>
          <w:p w14:paraId="73EB411A" w14:textId="77777777" w:rsidR="0060279E" w:rsidRPr="005C7C96" w:rsidRDefault="0060279E" w:rsidP="00605F86">
            <w:pPr>
              <w:tabs>
                <w:tab w:val="left" w:pos="687"/>
                <w:tab w:val="left" w:pos="689"/>
              </w:tabs>
              <w:spacing w:beforeLines="40" w:before="96" w:afterLines="40" w:after="96" w:line="240" w:lineRule="auto"/>
              <w:ind w:right="174"/>
              <w:rPr>
                <w:szCs w:val="18"/>
              </w:rPr>
            </w:pPr>
            <w:r w:rsidRPr="00970F49">
              <w:rPr>
                <w:szCs w:val="18"/>
              </w:rPr>
              <w:t>Elimination of margin for prudence within earned claims provisions and RI bad debt</w:t>
            </w:r>
          </w:p>
        </w:tc>
        <w:tc>
          <w:tcPr>
            <w:tcW w:w="5528" w:type="dxa"/>
          </w:tcPr>
          <w:p w14:paraId="232D6E0B" w14:textId="77777777" w:rsidR="0060279E" w:rsidRPr="00251134" w:rsidRDefault="0060279E" w:rsidP="00605F86">
            <w:pPr>
              <w:tabs>
                <w:tab w:val="left" w:pos="687"/>
                <w:tab w:val="left" w:pos="689"/>
              </w:tabs>
              <w:spacing w:beforeLines="40" w:before="96" w:afterLines="40" w:after="96" w:line="240" w:lineRule="auto"/>
              <w:ind w:right="174"/>
              <w:rPr>
                <w:szCs w:val="18"/>
              </w:rPr>
            </w:pPr>
            <w:r w:rsidRPr="00251134">
              <w:rPr>
                <w:szCs w:val="18"/>
              </w:rPr>
              <w:t>UK GAAP earned technical provisions may contain an element of prudence in the future anticipated insurance losses whereas the Solvency II amount is determined using a probability weighted average of all possible outcomes which takes account of all uncertainties in its best estimate cash flow.</w:t>
            </w:r>
          </w:p>
          <w:p w14:paraId="20E36F8B" w14:textId="26AC745D" w:rsidR="0060279E" w:rsidRPr="00251134" w:rsidRDefault="005C175A" w:rsidP="00605F86">
            <w:pPr>
              <w:tabs>
                <w:tab w:val="left" w:pos="687"/>
                <w:tab w:val="left" w:pos="689"/>
              </w:tabs>
              <w:spacing w:beforeLines="40" w:before="96" w:afterLines="40" w:after="96" w:line="240" w:lineRule="auto"/>
              <w:ind w:right="174"/>
              <w:rPr>
                <w:szCs w:val="18"/>
              </w:rPr>
            </w:pPr>
            <w:r w:rsidRPr="00251134">
              <w:rPr>
                <w:szCs w:val="18"/>
              </w:rPr>
              <w:t>Thus,</w:t>
            </w:r>
            <w:r w:rsidR="0060279E" w:rsidRPr="00251134">
              <w:rPr>
                <w:szCs w:val="18"/>
              </w:rPr>
              <w:t xml:space="preserve"> any element of prudence which exceeds the probability weighted best estimate within the UK GAAP basis technical provisions must be eliminated</w:t>
            </w:r>
            <w:r w:rsidR="00CB6B4A">
              <w:rPr>
                <w:szCs w:val="18"/>
              </w:rPr>
              <w:t xml:space="preserve"> </w:t>
            </w:r>
            <w:r w:rsidR="0060279E" w:rsidRPr="00251134">
              <w:rPr>
                <w:szCs w:val="18"/>
              </w:rPr>
              <w:t>in this line.</w:t>
            </w:r>
          </w:p>
          <w:p w14:paraId="503AEF47" w14:textId="76A55152" w:rsidR="0060279E" w:rsidRPr="00CF7E8A" w:rsidRDefault="0060279E" w:rsidP="00605F86">
            <w:pPr>
              <w:tabs>
                <w:tab w:val="left" w:pos="687"/>
                <w:tab w:val="left" w:pos="689"/>
              </w:tabs>
              <w:spacing w:beforeLines="40" w:before="96" w:afterLines="40" w:after="96" w:line="240" w:lineRule="auto"/>
              <w:ind w:right="174"/>
              <w:rPr>
                <w:szCs w:val="18"/>
              </w:rPr>
            </w:pPr>
            <w:r w:rsidRPr="00251134">
              <w:rPr>
                <w:szCs w:val="18"/>
              </w:rPr>
              <w:t xml:space="preserve">In the annual submissions, the adjustment to remove prudence must be limited to that identified by the signing actuary in the SAO template and report </w:t>
            </w:r>
            <w:r w:rsidRPr="00CF7E8A">
              <w:rPr>
                <w:szCs w:val="18"/>
              </w:rPr>
              <w:t>(or separate formal letter).</w:t>
            </w:r>
          </w:p>
          <w:p w14:paraId="7FFA5114" w14:textId="1CB91742" w:rsidR="0060279E" w:rsidRPr="00CF7E8A" w:rsidRDefault="0060279E" w:rsidP="00605F86">
            <w:pPr>
              <w:tabs>
                <w:tab w:val="left" w:pos="687"/>
                <w:tab w:val="left" w:pos="689"/>
              </w:tabs>
              <w:spacing w:beforeLines="40" w:before="96" w:afterLines="40" w:after="96" w:line="240" w:lineRule="auto"/>
              <w:ind w:right="174"/>
              <w:rPr>
                <w:szCs w:val="18"/>
              </w:rPr>
            </w:pPr>
            <w:r w:rsidRPr="00CF7E8A">
              <w:rPr>
                <w:szCs w:val="18"/>
              </w:rPr>
              <w:t xml:space="preserve">Lloyd’s will review compliance with this requirement. </w:t>
            </w:r>
            <w:r w:rsidRPr="00F3312B">
              <w:rPr>
                <w:szCs w:val="18"/>
              </w:rPr>
              <w:t>Non-compliance will not result in a capital loading; instead Lloyd’s will require resubmission of this form. The requirement above must then be met, either via Line 4 or as an adjustment to Line 16.</w:t>
            </w:r>
          </w:p>
          <w:p w14:paraId="410567BF" w14:textId="0E33AB3A" w:rsidR="0060279E" w:rsidRPr="005C7C96" w:rsidRDefault="0060279E" w:rsidP="00605F86">
            <w:pPr>
              <w:tabs>
                <w:tab w:val="left" w:pos="687"/>
                <w:tab w:val="left" w:pos="689"/>
              </w:tabs>
              <w:spacing w:beforeLines="40" w:before="96" w:afterLines="40" w:after="96" w:line="240" w:lineRule="auto"/>
              <w:ind w:right="174"/>
              <w:rPr>
                <w:szCs w:val="18"/>
              </w:rPr>
            </w:pPr>
            <w:r w:rsidRPr="00CF7E8A">
              <w:rPr>
                <w:szCs w:val="18"/>
              </w:rPr>
              <w:t>The elimination would normally be expected to be</w:t>
            </w:r>
            <w:r>
              <w:rPr>
                <w:szCs w:val="18"/>
              </w:rPr>
              <w:t xml:space="preserve"> a positive amount, </w:t>
            </w:r>
            <w:r w:rsidRPr="00254A0F">
              <w:rPr>
                <w:szCs w:val="18"/>
              </w:rPr>
              <w:t>favourabl</w:t>
            </w:r>
            <w:r>
              <w:rPr>
                <w:szCs w:val="18"/>
              </w:rPr>
              <w:t>y</w:t>
            </w:r>
            <w:r w:rsidRPr="00254A0F">
              <w:rPr>
                <w:szCs w:val="18"/>
              </w:rPr>
              <w:t xml:space="preserve"> impact</w:t>
            </w:r>
            <w:r>
              <w:rPr>
                <w:szCs w:val="18"/>
              </w:rPr>
              <w:t>ing</w:t>
            </w:r>
            <w:r w:rsidRPr="00254A0F">
              <w:rPr>
                <w:szCs w:val="18"/>
              </w:rPr>
              <w:t xml:space="preserve"> the members’ balance</w:t>
            </w:r>
            <w:r>
              <w:rPr>
                <w:szCs w:val="18"/>
              </w:rPr>
              <w:t>.</w:t>
            </w:r>
          </w:p>
        </w:tc>
      </w:tr>
      <w:tr w:rsidR="0060279E" w:rsidRPr="00D87146" w14:paraId="56FF8D3E" w14:textId="77777777" w:rsidTr="00F3312B">
        <w:trPr>
          <w:cantSplit/>
          <w:trHeight w:val="307"/>
        </w:trPr>
        <w:tc>
          <w:tcPr>
            <w:tcW w:w="1555" w:type="dxa"/>
          </w:tcPr>
          <w:p w14:paraId="065F3FFC" w14:textId="77777777" w:rsidR="0060279E" w:rsidRPr="005C7C96" w:rsidRDefault="0060279E" w:rsidP="00605F86">
            <w:pPr>
              <w:tabs>
                <w:tab w:val="left" w:pos="687"/>
                <w:tab w:val="left" w:pos="689"/>
              </w:tabs>
              <w:spacing w:beforeLines="40" w:before="96" w:afterLines="40" w:after="96" w:line="240" w:lineRule="auto"/>
              <w:ind w:right="174"/>
              <w:rPr>
                <w:szCs w:val="18"/>
              </w:rPr>
            </w:pPr>
            <w:r>
              <w:rPr>
                <w:szCs w:val="18"/>
              </w:rPr>
              <w:t>Line 5</w:t>
            </w:r>
          </w:p>
        </w:tc>
        <w:tc>
          <w:tcPr>
            <w:tcW w:w="2131" w:type="dxa"/>
          </w:tcPr>
          <w:p w14:paraId="0F265D2C" w14:textId="0315FAED" w:rsidR="0060279E" w:rsidRPr="005C7C96" w:rsidRDefault="0060279E" w:rsidP="00605F86">
            <w:pPr>
              <w:tabs>
                <w:tab w:val="left" w:pos="687"/>
                <w:tab w:val="left" w:pos="689"/>
              </w:tabs>
              <w:spacing w:beforeLines="40" w:before="96" w:afterLines="40" w:after="96" w:line="240" w:lineRule="auto"/>
              <w:ind w:right="174"/>
              <w:rPr>
                <w:szCs w:val="18"/>
              </w:rPr>
            </w:pPr>
            <w:r w:rsidRPr="006E6C7F">
              <w:rPr>
                <w:szCs w:val="18"/>
              </w:rPr>
              <w:t>Future premiums included in</w:t>
            </w:r>
            <w:r>
              <w:rPr>
                <w:szCs w:val="18"/>
              </w:rPr>
              <w:t xml:space="preserve"> </w:t>
            </w:r>
            <w:r w:rsidRPr="006E6C7F">
              <w:rPr>
                <w:szCs w:val="18"/>
              </w:rPr>
              <w:t>technical provisions - incepted contracts (net of acquisition costs)</w:t>
            </w:r>
          </w:p>
        </w:tc>
        <w:tc>
          <w:tcPr>
            <w:tcW w:w="5528" w:type="dxa"/>
          </w:tcPr>
          <w:p w14:paraId="4DD1246B" w14:textId="7D481376" w:rsidR="0060279E" w:rsidRDefault="0060279E" w:rsidP="00605F86">
            <w:pPr>
              <w:tabs>
                <w:tab w:val="left" w:pos="687"/>
                <w:tab w:val="left" w:pos="689"/>
              </w:tabs>
              <w:spacing w:beforeLines="40" w:before="96" w:afterLines="40" w:after="96" w:line="240" w:lineRule="auto"/>
              <w:ind w:right="174"/>
              <w:rPr>
                <w:szCs w:val="18"/>
              </w:rPr>
            </w:pPr>
            <w:r w:rsidRPr="00254A0F">
              <w:rPr>
                <w:szCs w:val="18"/>
              </w:rPr>
              <w:t xml:space="preserve">This represents the cash flows on contracts </w:t>
            </w:r>
            <w:r w:rsidR="004A27C7" w:rsidRPr="00F3312B">
              <w:rPr>
                <w:b/>
                <w:szCs w:val="18"/>
              </w:rPr>
              <w:t>incepted</w:t>
            </w:r>
            <w:r w:rsidR="004A27C7">
              <w:rPr>
                <w:szCs w:val="18"/>
              </w:rPr>
              <w:t xml:space="preserve"> </w:t>
            </w:r>
            <w:r w:rsidR="002A23D4">
              <w:rPr>
                <w:szCs w:val="18"/>
              </w:rPr>
              <w:t xml:space="preserve">as </w:t>
            </w:r>
            <w:r w:rsidRPr="00254A0F">
              <w:rPr>
                <w:szCs w:val="18"/>
              </w:rPr>
              <w:t>at the balance date which are recognised</w:t>
            </w:r>
            <w:r>
              <w:rPr>
                <w:szCs w:val="18"/>
              </w:rPr>
              <w:t xml:space="preserve"> under Solvency II</w:t>
            </w:r>
            <w:r w:rsidRPr="00254A0F">
              <w:rPr>
                <w:szCs w:val="18"/>
              </w:rPr>
              <w:t xml:space="preserve"> once the syndicate becomes party to the contract (subject to contract boundaries) and which are yet to be received.</w:t>
            </w:r>
          </w:p>
          <w:p w14:paraId="1DB8D63C" w14:textId="6189C432" w:rsidR="0060279E" w:rsidRPr="005C7C96" w:rsidRDefault="0060279E" w:rsidP="00605F86">
            <w:pPr>
              <w:tabs>
                <w:tab w:val="left" w:pos="687"/>
                <w:tab w:val="left" w:pos="689"/>
              </w:tabs>
              <w:spacing w:beforeLines="40" w:before="96" w:afterLines="40" w:after="96" w:line="240" w:lineRule="auto"/>
              <w:ind w:right="174"/>
              <w:rPr>
                <w:szCs w:val="18"/>
              </w:rPr>
            </w:pPr>
            <w:r w:rsidRPr="00254A0F">
              <w:rPr>
                <w:szCs w:val="18"/>
              </w:rPr>
              <w:t xml:space="preserve">This will normally be a positive adjustment (and hence a favourable impact on the members’ balance) but may be negative where the gross future premium is less than future RI premium. </w:t>
            </w:r>
          </w:p>
        </w:tc>
      </w:tr>
      <w:tr w:rsidR="0060279E" w:rsidRPr="00D87146" w14:paraId="1CF803DE" w14:textId="77777777" w:rsidTr="00F3312B">
        <w:trPr>
          <w:cantSplit/>
          <w:trHeight w:val="307"/>
        </w:trPr>
        <w:tc>
          <w:tcPr>
            <w:tcW w:w="1555" w:type="dxa"/>
          </w:tcPr>
          <w:p w14:paraId="24DA6E60" w14:textId="77777777" w:rsidR="0060279E" w:rsidRPr="005C7C96" w:rsidRDefault="0060279E" w:rsidP="00605F86">
            <w:pPr>
              <w:tabs>
                <w:tab w:val="left" w:pos="687"/>
                <w:tab w:val="left" w:pos="689"/>
              </w:tabs>
              <w:spacing w:beforeLines="40" w:before="96" w:afterLines="40" w:after="96" w:line="240" w:lineRule="auto"/>
              <w:ind w:right="174"/>
              <w:rPr>
                <w:szCs w:val="18"/>
              </w:rPr>
            </w:pPr>
            <w:r>
              <w:rPr>
                <w:szCs w:val="18"/>
              </w:rPr>
              <w:t>Line 6</w:t>
            </w:r>
          </w:p>
        </w:tc>
        <w:tc>
          <w:tcPr>
            <w:tcW w:w="2131" w:type="dxa"/>
          </w:tcPr>
          <w:p w14:paraId="6AC90D19" w14:textId="77777777" w:rsidR="0060279E" w:rsidRPr="006E6C7F" w:rsidRDefault="0060279E" w:rsidP="00605F86">
            <w:pPr>
              <w:tabs>
                <w:tab w:val="left" w:pos="687"/>
                <w:tab w:val="left" w:pos="689"/>
              </w:tabs>
              <w:spacing w:beforeLines="40" w:before="96" w:afterLines="40" w:after="96" w:line="240" w:lineRule="auto"/>
              <w:ind w:right="174"/>
              <w:rPr>
                <w:szCs w:val="18"/>
              </w:rPr>
            </w:pPr>
            <w:r w:rsidRPr="00504DDD">
              <w:rPr>
                <w:szCs w:val="18"/>
              </w:rPr>
              <w:t>Future premiums included in technical provisions - unincepted contracts (net of acquisition costs)</w:t>
            </w:r>
          </w:p>
        </w:tc>
        <w:tc>
          <w:tcPr>
            <w:tcW w:w="5528" w:type="dxa"/>
          </w:tcPr>
          <w:p w14:paraId="63B3D471" w14:textId="6ACEFF8A" w:rsidR="0060279E" w:rsidRDefault="0060279E" w:rsidP="00605F86">
            <w:pPr>
              <w:tabs>
                <w:tab w:val="left" w:pos="687"/>
                <w:tab w:val="left" w:pos="689"/>
              </w:tabs>
              <w:spacing w:beforeLines="40" w:before="96" w:afterLines="40" w:after="96" w:line="240" w:lineRule="auto"/>
              <w:ind w:right="174"/>
              <w:rPr>
                <w:szCs w:val="18"/>
              </w:rPr>
            </w:pPr>
            <w:r w:rsidRPr="00264759">
              <w:rPr>
                <w:szCs w:val="18"/>
              </w:rPr>
              <w:t xml:space="preserve">Under Solvency II, insurance contracts are recognised if the insurer is </w:t>
            </w:r>
            <w:r w:rsidRPr="00F3312B">
              <w:rPr>
                <w:b/>
                <w:szCs w:val="18"/>
              </w:rPr>
              <w:t>bound</w:t>
            </w:r>
            <w:r w:rsidRPr="00264759">
              <w:rPr>
                <w:szCs w:val="18"/>
              </w:rPr>
              <w:t xml:space="preserve"> to the contract as at the balance sheet date, even if the coverage has </w:t>
            </w:r>
            <w:r w:rsidRPr="00F3312B">
              <w:rPr>
                <w:b/>
                <w:szCs w:val="18"/>
              </w:rPr>
              <w:t>not incepted</w:t>
            </w:r>
            <w:r w:rsidRPr="00264759">
              <w:rPr>
                <w:szCs w:val="18"/>
              </w:rPr>
              <w:t xml:space="preserve">.  </w:t>
            </w:r>
          </w:p>
          <w:p w14:paraId="04E9EB64" w14:textId="204AB80C" w:rsidR="0060279E" w:rsidRPr="005C7C96" w:rsidRDefault="0060279E" w:rsidP="00605F86">
            <w:pPr>
              <w:tabs>
                <w:tab w:val="left" w:pos="687"/>
                <w:tab w:val="left" w:pos="689"/>
              </w:tabs>
              <w:spacing w:beforeLines="40" w:before="96" w:afterLines="40" w:after="96" w:line="240" w:lineRule="auto"/>
              <w:ind w:right="174"/>
              <w:rPr>
                <w:szCs w:val="18"/>
              </w:rPr>
            </w:pPr>
            <w:r w:rsidRPr="00264759">
              <w:rPr>
                <w:szCs w:val="18"/>
              </w:rPr>
              <w:t>This will normally be a positive adjustment</w:t>
            </w:r>
            <w:r>
              <w:rPr>
                <w:szCs w:val="18"/>
              </w:rPr>
              <w:t>, favourably impacting the members’ balance. However, it</w:t>
            </w:r>
            <w:r w:rsidRPr="00264759">
              <w:rPr>
                <w:szCs w:val="18"/>
              </w:rPr>
              <w:t xml:space="preserve"> may be negative where future reinsurance premium is greater than future gross premium. </w:t>
            </w:r>
          </w:p>
        </w:tc>
      </w:tr>
      <w:tr w:rsidR="0060279E" w:rsidRPr="00D87146" w14:paraId="5BD93344" w14:textId="77777777" w:rsidTr="00F3312B">
        <w:trPr>
          <w:cantSplit/>
          <w:trHeight w:val="307"/>
        </w:trPr>
        <w:tc>
          <w:tcPr>
            <w:tcW w:w="1555" w:type="dxa"/>
          </w:tcPr>
          <w:p w14:paraId="71B91963" w14:textId="77777777" w:rsidR="0060279E" w:rsidRPr="005C7C96" w:rsidRDefault="0060279E" w:rsidP="00605F86">
            <w:pPr>
              <w:tabs>
                <w:tab w:val="left" w:pos="687"/>
                <w:tab w:val="left" w:pos="689"/>
              </w:tabs>
              <w:spacing w:beforeLines="40" w:before="96" w:afterLines="40" w:after="96" w:line="240" w:lineRule="auto"/>
              <w:ind w:right="174"/>
              <w:rPr>
                <w:szCs w:val="18"/>
              </w:rPr>
            </w:pPr>
            <w:r>
              <w:rPr>
                <w:szCs w:val="18"/>
              </w:rPr>
              <w:t>Line 7</w:t>
            </w:r>
          </w:p>
        </w:tc>
        <w:tc>
          <w:tcPr>
            <w:tcW w:w="2131" w:type="dxa"/>
          </w:tcPr>
          <w:p w14:paraId="650FDE94" w14:textId="67458AF1" w:rsidR="0060279E" w:rsidRPr="00504DDD" w:rsidRDefault="0060279E" w:rsidP="00605F86">
            <w:pPr>
              <w:tabs>
                <w:tab w:val="left" w:pos="687"/>
                <w:tab w:val="left" w:pos="689"/>
              </w:tabs>
              <w:spacing w:beforeLines="40" w:before="96" w:afterLines="40" w:after="96" w:line="240" w:lineRule="auto"/>
              <w:ind w:right="174"/>
              <w:rPr>
                <w:szCs w:val="18"/>
              </w:rPr>
            </w:pPr>
            <w:r w:rsidRPr="003675AF">
              <w:rPr>
                <w:szCs w:val="18"/>
              </w:rPr>
              <w:t xml:space="preserve">(Re)insurance receivables/payables transferred to </w:t>
            </w:r>
            <w:r>
              <w:rPr>
                <w:szCs w:val="18"/>
              </w:rPr>
              <w:t>t</w:t>
            </w:r>
            <w:r w:rsidRPr="003675AF">
              <w:rPr>
                <w:szCs w:val="18"/>
              </w:rPr>
              <w:t xml:space="preserve">echnical </w:t>
            </w:r>
            <w:r>
              <w:rPr>
                <w:szCs w:val="18"/>
              </w:rPr>
              <w:t>p</w:t>
            </w:r>
            <w:r w:rsidRPr="003675AF">
              <w:rPr>
                <w:szCs w:val="18"/>
              </w:rPr>
              <w:t>rovisions</w:t>
            </w:r>
          </w:p>
        </w:tc>
        <w:tc>
          <w:tcPr>
            <w:tcW w:w="5528" w:type="dxa"/>
          </w:tcPr>
          <w:p w14:paraId="5DD552E0" w14:textId="09162809" w:rsidR="0060279E" w:rsidRPr="005C7C96" w:rsidRDefault="0060279E" w:rsidP="00605F86">
            <w:pPr>
              <w:tabs>
                <w:tab w:val="left" w:pos="687"/>
                <w:tab w:val="left" w:pos="689"/>
              </w:tabs>
              <w:spacing w:beforeLines="40" w:before="96" w:afterLines="40" w:after="96" w:line="240" w:lineRule="auto"/>
              <w:ind w:right="174"/>
              <w:rPr>
                <w:szCs w:val="18"/>
              </w:rPr>
            </w:pPr>
            <w:r w:rsidRPr="00C6352A">
              <w:rPr>
                <w:szCs w:val="18"/>
              </w:rPr>
              <w:t>Under Solvency II, (re)insurance receivables/payables shown within the respective lines on the UK GAAP balance sheet are reallocated and shown as part of Solvency II technical provisions, where these amounts are not overdue.</w:t>
            </w:r>
            <w:r w:rsidR="00B748A5">
              <w:rPr>
                <w:szCs w:val="18"/>
              </w:rPr>
              <w:t xml:space="preserve"> </w:t>
            </w:r>
            <w:r w:rsidRPr="00C6352A">
              <w:rPr>
                <w:szCs w:val="18"/>
              </w:rPr>
              <w:t>The net adjustment</w:t>
            </w:r>
            <w:r>
              <w:rPr>
                <w:szCs w:val="18"/>
              </w:rPr>
              <w:t>, which can be positive or negative,</w:t>
            </w:r>
            <w:r w:rsidRPr="00C6352A">
              <w:rPr>
                <w:szCs w:val="18"/>
              </w:rPr>
              <w:t xml:space="preserve"> </w:t>
            </w:r>
            <w:r w:rsidRPr="007E7834">
              <w:rPr>
                <w:szCs w:val="18"/>
              </w:rPr>
              <w:t xml:space="preserve">must be reported on this line. </w:t>
            </w:r>
            <w:r w:rsidRPr="00165EEC">
              <w:rPr>
                <w:szCs w:val="18"/>
              </w:rPr>
              <w:t xml:space="preserve">This amount </w:t>
            </w:r>
            <w:r>
              <w:rPr>
                <w:szCs w:val="18"/>
              </w:rPr>
              <w:t>must</w:t>
            </w:r>
            <w:r w:rsidRPr="00165EEC">
              <w:rPr>
                <w:szCs w:val="18"/>
              </w:rPr>
              <w:t xml:space="preserve"> agree to the adjustments made on the</w:t>
            </w:r>
            <w:r>
              <w:rPr>
                <w:szCs w:val="18"/>
              </w:rPr>
              <w:t xml:space="preserve"> Solvency II</w:t>
            </w:r>
            <w:r w:rsidRPr="00165EEC">
              <w:rPr>
                <w:szCs w:val="18"/>
              </w:rPr>
              <w:t xml:space="preserve"> balance sheet within the (re)insurance receivables/payables lines</w:t>
            </w:r>
            <w:r>
              <w:rPr>
                <w:szCs w:val="18"/>
              </w:rPr>
              <w:t xml:space="preserve"> </w:t>
            </w:r>
            <w:r w:rsidRPr="00165EEC">
              <w:rPr>
                <w:szCs w:val="18"/>
              </w:rPr>
              <w:t>in respect of future premiums (net of acquisition costs).</w:t>
            </w:r>
            <w:r w:rsidRPr="00C6352A">
              <w:rPr>
                <w:szCs w:val="18"/>
              </w:rPr>
              <w:t xml:space="preserve"> </w:t>
            </w:r>
          </w:p>
        </w:tc>
      </w:tr>
      <w:tr w:rsidR="0060279E" w:rsidRPr="00D87146" w14:paraId="18C04679" w14:textId="77777777" w:rsidTr="00F3312B">
        <w:trPr>
          <w:cantSplit/>
          <w:trHeight w:val="307"/>
        </w:trPr>
        <w:tc>
          <w:tcPr>
            <w:tcW w:w="1555" w:type="dxa"/>
          </w:tcPr>
          <w:p w14:paraId="36909404" w14:textId="77777777" w:rsidR="0060279E" w:rsidRPr="005C7C96" w:rsidRDefault="0060279E" w:rsidP="00605F86">
            <w:pPr>
              <w:tabs>
                <w:tab w:val="left" w:pos="687"/>
                <w:tab w:val="left" w:pos="689"/>
              </w:tabs>
              <w:spacing w:beforeLines="40" w:before="96" w:afterLines="40" w:after="96" w:line="240" w:lineRule="auto"/>
              <w:ind w:right="174"/>
              <w:rPr>
                <w:szCs w:val="18"/>
              </w:rPr>
            </w:pPr>
            <w:r>
              <w:rPr>
                <w:szCs w:val="18"/>
              </w:rPr>
              <w:t>Line 8</w:t>
            </w:r>
          </w:p>
        </w:tc>
        <w:tc>
          <w:tcPr>
            <w:tcW w:w="2131" w:type="dxa"/>
          </w:tcPr>
          <w:p w14:paraId="638B2EE6" w14:textId="77777777" w:rsidR="0060279E" w:rsidRPr="003675AF" w:rsidRDefault="0060279E" w:rsidP="00605F86">
            <w:pPr>
              <w:tabs>
                <w:tab w:val="left" w:pos="687"/>
                <w:tab w:val="left" w:pos="689"/>
              </w:tabs>
              <w:spacing w:beforeLines="40" w:before="96" w:afterLines="40" w:after="96" w:line="240" w:lineRule="auto"/>
              <w:ind w:right="174"/>
              <w:rPr>
                <w:szCs w:val="18"/>
              </w:rPr>
            </w:pPr>
            <w:r w:rsidRPr="003675AF">
              <w:rPr>
                <w:szCs w:val="18"/>
              </w:rPr>
              <w:t>Net premium provision - net future claims cost incepted (including ALAE and ULAE)</w:t>
            </w:r>
          </w:p>
        </w:tc>
        <w:tc>
          <w:tcPr>
            <w:tcW w:w="5528" w:type="dxa"/>
          </w:tcPr>
          <w:p w14:paraId="6D931866" w14:textId="77777777" w:rsidR="0060279E" w:rsidRDefault="0060279E" w:rsidP="00605F86">
            <w:pPr>
              <w:tabs>
                <w:tab w:val="left" w:pos="687"/>
                <w:tab w:val="left" w:pos="689"/>
              </w:tabs>
              <w:spacing w:beforeLines="40" w:before="96" w:afterLines="40" w:after="96" w:line="240" w:lineRule="auto"/>
              <w:ind w:right="174"/>
              <w:rPr>
                <w:szCs w:val="18"/>
              </w:rPr>
            </w:pPr>
            <w:r w:rsidRPr="007E45A3">
              <w:rPr>
                <w:szCs w:val="18"/>
              </w:rPr>
              <w:t xml:space="preserve">The future claims cost in respect of existing and contractually bound written business at the balance sheet date where the </w:t>
            </w:r>
            <w:r>
              <w:rPr>
                <w:szCs w:val="18"/>
              </w:rPr>
              <w:t xml:space="preserve">future </w:t>
            </w:r>
            <w:r w:rsidRPr="007E45A3">
              <w:rPr>
                <w:szCs w:val="18"/>
              </w:rPr>
              <w:t xml:space="preserve">premiums have been recognised in line 5 above, should be reported on this line. </w:t>
            </w:r>
          </w:p>
          <w:p w14:paraId="3F1C0202" w14:textId="73FAC003" w:rsidR="0060279E" w:rsidRDefault="0060279E" w:rsidP="00605F86">
            <w:pPr>
              <w:tabs>
                <w:tab w:val="left" w:pos="687"/>
                <w:tab w:val="left" w:pos="689"/>
              </w:tabs>
              <w:spacing w:beforeLines="40" w:before="96" w:afterLines="40" w:after="96" w:line="240" w:lineRule="auto"/>
              <w:ind w:right="174"/>
              <w:rPr>
                <w:szCs w:val="18"/>
              </w:rPr>
            </w:pPr>
            <w:r w:rsidRPr="007E45A3">
              <w:rPr>
                <w:szCs w:val="18"/>
              </w:rPr>
              <w:t xml:space="preserve">This will </w:t>
            </w:r>
            <w:r>
              <w:rPr>
                <w:szCs w:val="18"/>
              </w:rPr>
              <w:t xml:space="preserve">normally </w:t>
            </w:r>
            <w:r w:rsidRPr="007E45A3">
              <w:rPr>
                <w:szCs w:val="18"/>
              </w:rPr>
              <w:t>be a negative adjustmen</w:t>
            </w:r>
            <w:r>
              <w:rPr>
                <w:szCs w:val="18"/>
              </w:rPr>
              <w:t>t, resulting in</w:t>
            </w:r>
            <w:r w:rsidRPr="00254A0F">
              <w:rPr>
                <w:szCs w:val="18"/>
              </w:rPr>
              <w:t xml:space="preserve"> </w:t>
            </w:r>
            <w:r>
              <w:rPr>
                <w:szCs w:val="18"/>
              </w:rPr>
              <w:t>a negative</w:t>
            </w:r>
            <w:r w:rsidRPr="00254A0F">
              <w:rPr>
                <w:szCs w:val="18"/>
              </w:rPr>
              <w:t xml:space="preserve"> impact on the members’ balance</w:t>
            </w:r>
            <w:r>
              <w:rPr>
                <w:szCs w:val="18"/>
              </w:rPr>
              <w:t>.</w:t>
            </w:r>
            <w:r w:rsidRPr="007E45A3">
              <w:rPr>
                <w:szCs w:val="18"/>
              </w:rPr>
              <w:t xml:space="preserve"> </w:t>
            </w:r>
          </w:p>
          <w:p w14:paraId="3085D16E" w14:textId="0496B01F" w:rsidR="0060279E" w:rsidRPr="005C7C96" w:rsidRDefault="0060279E" w:rsidP="00605F86">
            <w:pPr>
              <w:tabs>
                <w:tab w:val="left" w:pos="687"/>
                <w:tab w:val="left" w:pos="689"/>
              </w:tabs>
              <w:spacing w:beforeLines="40" w:before="96" w:afterLines="40" w:after="96" w:line="240" w:lineRule="auto"/>
              <w:ind w:right="174"/>
              <w:rPr>
                <w:szCs w:val="18"/>
              </w:rPr>
            </w:pPr>
            <w:r w:rsidRPr="007E45A3">
              <w:rPr>
                <w:szCs w:val="18"/>
              </w:rPr>
              <w:t>This line should not include ENID amounts as th</w:t>
            </w:r>
            <w:r>
              <w:rPr>
                <w:szCs w:val="18"/>
              </w:rPr>
              <w:t>ose</w:t>
            </w:r>
            <w:r w:rsidRPr="007E45A3">
              <w:rPr>
                <w:szCs w:val="18"/>
              </w:rPr>
              <w:t xml:space="preserve"> should be reported in line </w:t>
            </w:r>
            <w:r w:rsidR="003F4905" w:rsidRPr="007E45A3">
              <w:rPr>
                <w:szCs w:val="18"/>
              </w:rPr>
              <w:t>11</w:t>
            </w:r>
            <w:r w:rsidR="003F4905">
              <w:rPr>
                <w:szCs w:val="18"/>
              </w:rPr>
              <w:t xml:space="preserve"> but</w:t>
            </w:r>
            <w:r w:rsidRPr="007E45A3">
              <w:rPr>
                <w:szCs w:val="18"/>
              </w:rPr>
              <w:t xml:space="preserve"> should include</w:t>
            </w:r>
            <w:r>
              <w:rPr>
                <w:szCs w:val="18"/>
              </w:rPr>
              <w:t xml:space="preserve"> ALAE and</w:t>
            </w:r>
            <w:r w:rsidRPr="007E45A3">
              <w:rPr>
                <w:szCs w:val="18"/>
              </w:rPr>
              <w:t xml:space="preserve"> ULAE relating to these future claims.</w:t>
            </w:r>
            <w:r>
              <w:rPr>
                <w:szCs w:val="18"/>
              </w:rPr>
              <w:t xml:space="preserve"> </w:t>
            </w:r>
          </w:p>
        </w:tc>
      </w:tr>
      <w:tr w:rsidR="0060279E" w:rsidRPr="00D87146" w14:paraId="6C59E5E8" w14:textId="77777777" w:rsidTr="00F3312B">
        <w:trPr>
          <w:cantSplit/>
          <w:trHeight w:val="307"/>
        </w:trPr>
        <w:tc>
          <w:tcPr>
            <w:tcW w:w="1555" w:type="dxa"/>
          </w:tcPr>
          <w:p w14:paraId="235C5DCF" w14:textId="77777777" w:rsidR="0060279E" w:rsidRDefault="0060279E" w:rsidP="00605F86">
            <w:pPr>
              <w:tabs>
                <w:tab w:val="left" w:pos="687"/>
                <w:tab w:val="left" w:pos="689"/>
              </w:tabs>
              <w:spacing w:beforeLines="40" w:before="96" w:afterLines="40" w:after="96" w:line="240" w:lineRule="auto"/>
              <w:ind w:right="174"/>
              <w:rPr>
                <w:szCs w:val="18"/>
              </w:rPr>
            </w:pPr>
            <w:r>
              <w:rPr>
                <w:szCs w:val="18"/>
              </w:rPr>
              <w:t>Line 9</w:t>
            </w:r>
          </w:p>
        </w:tc>
        <w:tc>
          <w:tcPr>
            <w:tcW w:w="2131" w:type="dxa"/>
          </w:tcPr>
          <w:p w14:paraId="29879D7A" w14:textId="77777777" w:rsidR="0060279E" w:rsidRPr="003675AF" w:rsidRDefault="0060279E" w:rsidP="00605F86">
            <w:pPr>
              <w:tabs>
                <w:tab w:val="left" w:pos="687"/>
                <w:tab w:val="left" w:pos="689"/>
              </w:tabs>
              <w:spacing w:beforeLines="40" w:before="96" w:afterLines="40" w:after="96" w:line="240" w:lineRule="auto"/>
              <w:ind w:right="174"/>
              <w:rPr>
                <w:szCs w:val="18"/>
              </w:rPr>
            </w:pPr>
            <w:r w:rsidRPr="00F618EB">
              <w:rPr>
                <w:szCs w:val="18"/>
              </w:rPr>
              <w:t>Net premium provision - net future claims cost unincepted (including ALAE and ULAE)</w:t>
            </w:r>
          </w:p>
        </w:tc>
        <w:tc>
          <w:tcPr>
            <w:tcW w:w="5528" w:type="dxa"/>
          </w:tcPr>
          <w:p w14:paraId="48512735" w14:textId="5B553ADA" w:rsidR="0060279E" w:rsidRPr="005C7C96" w:rsidRDefault="0060279E" w:rsidP="00605F86">
            <w:pPr>
              <w:tabs>
                <w:tab w:val="left" w:pos="687"/>
                <w:tab w:val="left" w:pos="689"/>
              </w:tabs>
              <w:spacing w:beforeLines="40" w:before="96" w:afterLines="40" w:after="96" w:line="240" w:lineRule="auto"/>
              <w:ind w:right="174"/>
              <w:rPr>
                <w:szCs w:val="18"/>
              </w:rPr>
            </w:pPr>
            <w:r w:rsidRPr="0073203B">
              <w:rPr>
                <w:szCs w:val="18"/>
              </w:rPr>
              <w:t xml:space="preserve">The future claims cost in respect of existing and contractually bound written business at the balance sheet date where the </w:t>
            </w:r>
            <w:r>
              <w:rPr>
                <w:szCs w:val="18"/>
              </w:rPr>
              <w:t xml:space="preserve">future </w:t>
            </w:r>
            <w:r w:rsidRPr="0073203B">
              <w:rPr>
                <w:szCs w:val="18"/>
              </w:rPr>
              <w:t>premiums have been recognised in line 6 above</w:t>
            </w:r>
            <w:r>
              <w:rPr>
                <w:szCs w:val="18"/>
              </w:rPr>
              <w:t>. The same approach should be followed as described for incepted business in line 8.</w:t>
            </w:r>
            <w:r w:rsidR="006D6ECC">
              <w:rPr>
                <w:szCs w:val="18"/>
              </w:rPr>
              <w:t xml:space="preserve"> This will normally be </w:t>
            </w:r>
            <w:r w:rsidR="003B71F0">
              <w:rPr>
                <w:szCs w:val="18"/>
              </w:rPr>
              <w:t>a negative adjustment.</w:t>
            </w:r>
          </w:p>
        </w:tc>
      </w:tr>
      <w:tr w:rsidR="0060279E" w:rsidRPr="00D87146" w14:paraId="5862657F" w14:textId="77777777" w:rsidTr="00F3312B">
        <w:trPr>
          <w:cantSplit/>
          <w:trHeight w:val="307"/>
        </w:trPr>
        <w:tc>
          <w:tcPr>
            <w:tcW w:w="1555" w:type="dxa"/>
          </w:tcPr>
          <w:p w14:paraId="4FD5E453" w14:textId="77777777" w:rsidR="0060279E" w:rsidRDefault="0060279E" w:rsidP="00605F86">
            <w:pPr>
              <w:tabs>
                <w:tab w:val="left" w:pos="687"/>
                <w:tab w:val="left" w:pos="689"/>
              </w:tabs>
              <w:spacing w:beforeLines="40" w:before="96" w:afterLines="40" w:after="96" w:line="240" w:lineRule="auto"/>
              <w:ind w:right="174"/>
              <w:rPr>
                <w:szCs w:val="18"/>
              </w:rPr>
            </w:pPr>
            <w:r>
              <w:rPr>
                <w:szCs w:val="18"/>
              </w:rPr>
              <w:lastRenderedPageBreak/>
              <w:t>Line 10</w:t>
            </w:r>
          </w:p>
        </w:tc>
        <w:tc>
          <w:tcPr>
            <w:tcW w:w="2131" w:type="dxa"/>
          </w:tcPr>
          <w:p w14:paraId="5BA5257C" w14:textId="77777777" w:rsidR="0060279E" w:rsidRPr="00F618EB" w:rsidRDefault="0060279E" w:rsidP="00605F86">
            <w:pPr>
              <w:tabs>
                <w:tab w:val="left" w:pos="687"/>
                <w:tab w:val="left" w:pos="689"/>
              </w:tabs>
              <w:spacing w:beforeLines="40" w:before="96" w:afterLines="40" w:after="96" w:line="240" w:lineRule="auto"/>
              <w:ind w:right="174"/>
              <w:rPr>
                <w:szCs w:val="18"/>
              </w:rPr>
            </w:pPr>
            <w:r w:rsidRPr="00F618EB">
              <w:rPr>
                <w:szCs w:val="18"/>
              </w:rPr>
              <w:t>Additional expenses not included under UK GAAP</w:t>
            </w:r>
          </w:p>
        </w:tc>
        <w:tc>
          <w:tcPr>
            <w:tcW w:w="5528" w:type="dxa"/>
          </w:tcPr>
          <w:p w14:paraId="06C71DF8" w14:textId="0DC4EE18" w:rsidR="0060279E" w:rsidRDefault="0060279E" w:rsidP="00605F86">
            <w:pPr>
              <w:tabs>
                <w:tab w:val="left" w:pos="687"/>
                <w:tab w:val="left" w:pos="689"/>
              </w:tabs>
              <w:spacing w:beforeLines="40" w:before="96" w:afterLines="40" w:after="96" w:line="240" w:lineRule="auto"/>
              <w:ind w:right="174"/>
              <w:rPr>
                <w:szCs w:val="18"/>
              </w:rPr>
            </w:pPr>
            <w:r w:rsidRPr="00A479AD">
              <w:rPr>
                <w:szCs w:val="18"/>
              </w:rPr>
              <w:t xml:space="preserve">This should be assessed on the basis that the syndicate continues writing new business. </w:t>
            </w:r>
            <w:r>
              <w:rPr>
                <w:szCs w:val="18"/>
              </w:rPr>
              <w:t>Since</w:t>
            </w:r>
            <w:r w:rsidRPr="00A479AD">
              <w:rPr>
                <w:szCs w:val="18"/>
              </w:rPr>
              <w:t xml:space="preserve"> expense provisions </w:t>
            </w:r>
            <w:r>
              <w:rPr>
                <w:szCs w:val="18"/>
              </w:rPr>
              <w:t>are expected to</w:t>
            </w:r>
            <w:r w:rsidRPr="00A479AD">
              <w:rPr>
                <w:szCs w:val="18"/>
              </w:rPr>
              <w:t xml:space="preserve"> be higher under Solvency II</w:t>
            </w:r>
            <w:r>
              <w:rPr>
                <w:szCs w:val="18"/>
              </w:rPr>
              <w:t>,</w:t>
            </w:r>
            <w:r w:rsidRPr="00A479AD">
              <w:rPr>
                <w:szCs w:val="18"/>
              </w:rPr>
              <w:t xml:space="preserve"> a negative adjustment would</w:t>
            </w:r>
            <w:r>
              <w:rPr>
                <w:szCs w:val="18"/>
              </w:rPr>
              <w:t xml:space="preserve"> normally</w:t>
            </w:r>
            <w:r w:rsidRPr="00A479AD">
              <w:rPr>
                <w:szCs w:val="18"/>
              </w:rPr>
              <w:t xml:space="preserve"> be expected</w:t>
            </w:r>
            <w:r>
              <w:rPr>
                <w:szCs w:val="18"/>
              </w:rPr>
              <w:t>, resulting in</w:t>
            </w:r>
            <w:r w:rsidRPr="00254A0F">
              <w:rPr>
                <w:szCs w:val="18"/>
              </w:rPr>
              <w:t xml:space="preserve"> </w:t>
            </w:r>
            <w:r>
              <w:rPr>
                <w:szCs w:val="18"/>
              </w:rPr>
              <w:t>a negative</w:t>
            </w:r>
            <w:r w:rsidRPr="00254A0F">
              <w:rPr>
                <w:szCs w:val="18"/>
              </w:rPr>
              <w:t xml:space="preserve"> impact on the members’ balance</w:t>
            </w:r>
            <w:r>
              <w:rPr>
                <w:szCs w:val="18"/>
              </w:rPr>
              <w:t>.</w:t>
            </w:r>
            <w:r w:rsidRPr="007E45A3">
              <w:rPr>
                <w:szCs w:val="18"/>
              </w:rPr>
              <w:t xml:space="preserve"> </w:t>
            </w:r>
          </w:p>
          <w:p w14:paraId="1FD563CD" w14:textId="6EC75B23" w:rsidR="0060279E" w:rsidRPr="005C7C96" w:rsidRDefault="0060279E" w:rsidP="00605F86">
            <w:pPr>
              <w:tabs>
                <w:tab w:val="left" w:pos="687"/>
                <w:tab w:val="left" w:pos="689"/>
              </w:tabs>
              <w:spacing w:beforeLines="40" w:before="96" w:afterLines="40" w:after="96" w:line="240" w:lineRule="auto"/>
              <w:ind w:right="174"/>
              <w:rPr>
                <w:szCs w:val="18"/>
              </w:rPr>
            </w:pPr>
            <w:r w:rsidRPr="00A479AD">
              <w:rPr>
                <w:szCs w:val="18"/>
              </w:rPr>
              <w:t xml:space="preserve">Acquisition costs are excluded as they are reported within future premium. </w:t>
            </w:r>
            <w:r>
              <w:rPr>
                <w:szCs w:val="18"/>
              </w:rPr>
              <w:t>ULAE</w:t>
            </w:r>
            <w:r w:rsidRPr="00A479AD">
              <w:rPr>
                <w:szCs w:val="18"/>
              </w:rPr>
              <w:t xml:space="preserve"> on premium provision should be excluded from this line as they are included in line 8 for incepted business and line 9 for unincepted business.</w:t>
            </w:r>
          </w:p>
        </w:tc>
      </w:tr>
      <w:tr w:rsidR="0060279E" w:rsidRPr="00D87146" w14:paraId="1739A361" w14:textId="77777777" w:rsidTr="00F3312B">
        <w:trPr>
          <w:cantSplit/>
          <w:trHeight w:val="307"/>
        </w:trPr>
        <w:tc>
          <w:tcPr>
            <w:tcW w:w="1555" w:type="dxa"/>
          </w:tcPr>
          <w:p w14:paraId="51DC918D" w14:textId="77777777" w:rsidR="0060279E" w:rsidRDefault="0060279E" w:rsidP="00605F86">
            <w:pPr>
              <w:tabs>
                <w:tab w:val="left" w:pos="687"/>
                <w:tab w:val="left" w:pos="689"/>
              </w:tabs>
              <w:spacing w:beforeLines="40" w:before="96" w:afterLines="40" w:after="96" w:line="240" w:lineRule="auto"/>
              <w:ind w:right="174"/>
              <w:rPr>
                <w:szCs w:val="18"/>
              </w:rPr>
            </w:pPr>
            <w:r>
              <w:rPr>
                <w:szCs w:val="18"/>
              </w:rPr>
              <w:t>Line 11</w:t>
            </w:r>
          </w:p>
        </w:tc>
        <w:tc>
          <w:tcPr>
            <w:tcW w:w="2131" w:type="dxa"/>
          </w:tcPr>
          <w:p w14:paraId="15C8B4F4" w14:textId="77777777" w:rsidR="0060279E" w:rsidRPr="00F618EB" w:rsidRDefault="0060279E" w:rsidP="00605F86">
            <w:pPr>
              <w:tabs>
                <w:tab w:val="left" w:pos="687"/>
                <w:tab w:val="left" w:pos="689"/>
              </w:tabs>
              <w:spacing w:beforeLines="40" w:before="96" w:afterLines="40" w:after="96" w:line="240" w:lineRule="auto"/>
              <w:ind w:right="174"/>
              <w:rPr>
                <w:szCs w:val="18"/>
              </w:rPr>
            </w:pPr>
            <w:r w:rsidRPr="009160D4">
              <w:rPr>
                <w:szCs w:val="18"/>
              </w:rPr>
              <w:t>Events not in data</w:t>
            </w:r>
          </w:p>
        </w:tc>
        <w:tc>
          <w:tcPr>
            <w:tcW w:w="5528" w:type="dxa"/>
          </w:tcPr>
          <w:p w14:paraId="4FD2A93D" w14:textId="6B32366F" w:rsidR="0060279E" w:rsidDel="003801A8" w:rsidRDefault="0060279E" w:rsidP="00605F86">
            <w:pPr>
              <w:tabs>
                <w:tab w:val="left" w:pos="687"/>
                <w:tab w:val="left" w:pos="689"/>
              </w:tabs>
              <w:spacing w:beforeLines="40" w:before="96" w:afterLines="40" w:after="96" w:line="240" w:lineRule="auto"/>
              <w:ind w:right="174"/>
              <w:rPr>
                <w:szCs w:val="18"/>
              </w:rPr>
            </w:pPr>
            <w:r w:rsidRPr="00E748D4" w:rsidDel="003801A8">
              <w:rPr>
                <w:szCs w:val="18"/>
              </w:rPr>
              <w:t>Technical provisions under UK GAAP only make allowance for items that are implicitly included within the data or are ‘reasonably foreseeable’. Added to this would be a margin for prudence where an additional loading is required. This is eliminated on line 4 (see above).</w:t>
            </w:r>
          </w:p>
          <w:p w14:paraId="5FB376A1" w14:textId="71003D81" w:rsidR="0060279E" w:rsidDel="003801A8" w:rsidRDefault="0060279E" w:rsidP="00605F86">
            <w:pPr>
              <w:tabs>
                <w:tab w:val="left" w:pos="687"/>
                <w:tab w:val="left" w:pos="689"/>
              </w:tabs>
              <w:spacing w:beforeLines="40" w:before="96" w:afterLines="40" w:after="96" w:line="240" w:lineRule="auto"/>
              <w:ind w:right="174"/>
              <w:rPr>
                <w:szCs w:val="18"/>
              </w:rPr>
            </w:pPr>
            <w:r w:rsidRPr="00E748D4" w:rsidDel="003801A8">
              <w:rPr>
                <w:szCs w:val="18"/>
              </w:rPr>
              <w:t>Under Solvency II, technical provisions consist of a probability weighted average of all possible outcomes which takes account of all uncertainties</w:t>
            </w:r>
            <w:r w:rsidDel="003801A8">
              <w:rPr>
                <w:szCs w:val="18"/>
              </w:rPr>
              <w:t>.</w:t>
            </w:r>
          </w:p>
          <w:p w14:paraId="02DAE6CB" w14:textId="77777777" w:rsidR="0060279E" w:rsidDel="003801A8" w:rsidRDefault="0060279E" w:rsidP="00605F86">
            <w:pPr>
              <w:tabs>
                <w:tab w:val="left" w:pos="687"/>
                <w:tab w:val="left" w:pos="689"/>
              </w:tabs>
              <w:spacing w:beforeLines="40" w:before="96" w:afterLines="40" w:after="96" w:line="240" w:lineRule="auto"/>
              <w:ind w:right="174"/>
              <w:rPr>
                <w:szCs w:val="18"/>
              </w:rPr>
            </w:pPr>
            <w:r w:rsidRPr="00E748D4" w:rsidDel="003801A8">
              <w:rPr>
                <w:szCs w:val="18"/>
              </w:rPr>
              <w:t>This will include latent claims or very extreme high severity, low probability claims which are similarly considered as being over and above the parameters of the best estimate cash flow as an additional loading.</w:t>
            </w:r>
          </w:p>
          <w:p w14:paraId="22D4A73B" w14:textId="334505E8" w:rsidR="0060279E" w:rsidRDefault="0060279E" w:rsidP="00605F86">
            <w:pPr>
              <w:tabs>
                <w:tab w:val="left" w:pos="687"/>
                <w:tab w:val="left" w:pos="689"/>
              </w:tabs>
              <w:spacing w:beforeLines="40" w:before="96" w:afterLines="40" w:after="96" w:line="240" w:lineRule="auto"/>
              <w:ind w:right="174"/>
              <w:rPr>
                <w:szCs w:val="18"/>
              </w:rPr>
            </w:pPr>
            <w:r w:rsidRPr="00E748D4" w:rsidDel="0040119C">
              <w:rPr>
                <w:szCs w:val="18"/>
              </w:rPr>
              <w:t xml:space="preserve">Such items are known as </w:t>
            </w:r>
            <w:r w:rsidRPr="00E748D4">
              <w:rPr>
                <w:szCs w:val="18"/>
              </w:rPr>
              <w:t>ENIDs</w:t>
            </w:r>
            <w:r>
              <w:rPr>
                <w:szCs w:val="18"/>
              </w:rPr>
              <w:t>,</w:t>
            </w:r>
            <w:r w:rsidRPr="00E748D4">
              <w:rPr>
                <w:szCs w:val="18"/>
              </w:rPr>
              <w:t xml:space="preserve"> and adjustment will need to be made to identify their inclusion in Solvency</w:t>
            </w:r>
            <w:r>
              <w:rPr>
                <w:szCs w:val="18"/>
              </w:rPr>
              <w:t xml:space="preserve"> II </w:t>
            </w:r>
            <w:r w:rsidRPr="00E748D4">
              <w:rPr>
                <w:szCs w:val="18"/>
              </w:rPr>
              <w:t>technical provisions.</w:t>
            </w:r>
          </w:p>
          <w:p w14:paraId="53203FBA" w14:textId="7E7BA4A1" w:rsidR="0060279E" w:rsidRPr="005C7C96" w:rsidRDefault="0060279E" w:rsidP="00605F86">
            <w:pPr>
              <w:tabs>
                <w:tab w:val="left" w:pos="687"/>
                <w:tab w:val="left" w:pos="689"/>
              </w:tabs>
              <w:spacing w:beforeLines="40" w:before="96" w:afterLines="40" w:after="96" w:line="240" w:lineRule="auto"/>
              <w:ind w:right="174"/>
              <w:rPr>
                <w:szCs w:val="18"/>
              </w:rPr>
            </w:pPr>
            <w:r w:rsidRPr="00E748D4">
              <w:rPr>
                <w:szCs w:val="18"/>
              </w:rPr>
              <w:t>This will lead to an increase in technical provisions and must be reported on this line as a negative adjustment</w:t>
            </w:r>
            <w:r>
              <w:rPr>
                <w:szCs w:val="18"/>
              </w:rPr>
              <w:t>, resulting in</w:t>
            </w:r>
            <w:r w:rsidRPr="00254A0F">
              <w:rPr>
                <w:szCs w:val="18"/>
              </w:rPr>
              <w:t xml:space="preserve"> </w:t>
            </w:r>
            <w:r>
              <w:rPr>
                <w:szCs w:val="18"/>
              </w:rPr>
              <w:t>a negative</w:t>
            </w:r>
            <w:r w:rsidRPr="00254A0F">
              <w:rPr>
                <w:szCs w:val="18"/>
              </w:rPr>
              <w:t xml:space="preserve"> impact on the members’ balance</w:t>
            </w:r>
            <w:r>
              <w:rPr>
                <w:szCs w:val="18"/>
              </w:rPr>
              <w:t>.</w:t>
            </w:r>
            <w:r w:rsidRPr="007E45A3">
              <w:rPr>
                <w:szCs w:val="18"/>
              </w:rPr>
              <w:t xml:space="preserve"> </w:t>
            </w:r>
          </w:p>
        </w:tc>
      </w:tr>
      <w:tr w:rsidR="0060279E" w:rsidRPr="00D87146" w14:paraId="649F6CDD" w14:textId="77777777" w:rsidTr="00F3312B">
        <w:trPr>
          <w:cantSplit/>
          <w:trHeight w:val="307"/>
        </w:trPr>
        <w:tc>
          <w:tcPr>
            <w:tcW w:w="1555" w:type="dxa"/>
          </w:tcPr>
          <w:p w14:paraId="193D8DCB" w14:textId="77777777" w:rsidR="0060279E" w:rsidRDefault="0060279E" w:rsidP="00605F86">
            <w:pPr>
              <w:tabs>
                <w:tab w:val="left" w:pos="687"/>
                <w:tab w:val="left" w:pos="689"/>
              </w:tabs>
              <w:spacing w:beforeLines="40" w:before="96" w:afterLines="40" w:after="96" w:line="240" w:lineRule="auto"/>
              <w:ind w:right="174"/>
              <w:rPr>
                <w:szCs w:val="18"/>
              </w:rPr>
            </w:pPr>
            <w:r>
              <w:rPr>
                <w:szCs w:val="18"/>
              </w:rPr>
              <w:t>Line 12</w:t>
            </w:r>
          </w:p>
        </w:tc>
        <w:tc>
          <w:tcPr>
            <w:tcW w:w="2131" w:type="dxa"/>
          </w:tcPr>
          <w:p w14:paraId="69755825" w14:textId="77777777" w:rsidR="0060279E" w:rsidRPr="009160D4" w:rsidRDefault="0060279E" w:rsidP="00605F86">
            <w:pPr>
              <w:tabs>
                <w:tab w:val="left" w:pos="687"/>
                <w:tab w:val="left" w:pos="689"/>
              </w:tabs>
              <w:spacing w:beforeLines="40" w:before="96" w:afterLines="40" w:after="96" w:line="240" w:lineRule="auto"/>
              <w:ind w:right="174"/>
              <w:rPr>
                <w:szCs w:val="18"/>
              </w:rPr>
            </w:pPr>
            <w:r w:rsidRPr="009160D4">
              <w:rPr>
                <w:szCs w:val="18"/>
              </w:rPr>
              <w:t>Discounting</w:t>
            </w:r>
          </w:p>
        </w:tc>
        <w:tc>
          <w:tcPr>
            <w:tcW w:w="5528" w:type="dxa"/>
          </w:tcPr>
          <w:p w14:paraId="46597CBD" w14:textId="5AD17774" w:rsidR="0060279E" w:rsidRDefault="0060279E" w:rsidP="00605F86">
            <w:pPr>
              <w:tabs>
                <w:tab w:val="left" w:pos="687"/>
                <w:tab w:val="left" w:pos="689"/>
              </w:tabs>
              <w:spacing w:beforeLines="40" w:before="96" w:afterLines="40" w:after="96" w:line="240" w:lineRule="auto"/>
              <w:ind w:right="174"/>
              <w:rPr>
                <w:szCs w:val="18"/>
              </w:rPr>
            </w:pPr>
            <w:r w:rsidRPr="00E37A4B">
              <w:rPr>
                <w:szCs w:val="18"/>
              </w:rPr>
              <w:t>This line reports the net discounting applied to the Solvency II best estimate</w:t>
            </w:r>
            <w:r w:rsidRPr="003D08CA">
              <w:rPr>
                <w:szCs w:val="18"/>
              </w:rPr>
              <w:t>. This will</w:t>
            </w:r>
            <w:r>
              <w:rPr>
                <w:szCs w:val="18"/>
              </w:rPr>
              <w:t xml:space="preserve"> normally</w:t>
            </w:r>
            <w:r w:rsidRPr="003D08CA">
              <w:rPr>
                <w:szCs w:val="18"/>
              </w:rPr>
              <w:t xml:space="preserve"> be a positive adjustment</w:t>
            </w:r>
            <w:r>
              <w:rPr>
                <w:szCs w:val="18"/>
              </w:rPr>
              <w:t>, resulting in</w:t>
            </w:r>
            <w:r w:rsidRPr="00254A0F">
              <w:rPr>
                <w:szCs w:val="18"/>
              </w:rPr>
              <w:t xml:space="preserve"> </w:t>
            </w:r>
            <w:r>
              <w:rPr>
                <w:szCs w:val="18"/>
              </w:rPr>
              <w:t>a positive</w:t>
            </w:r>
            <w:r w:rsidRPr="00254A0F">
              <w:rPr>
                <w:szCs w:val="18"/>
              </w:rPr>
              <w:t xml:space="preserve"> impact on the members’ balance</w:t>
            </w:r>
            <w:r>
              <w:rPr>
                <w:szCs w:val="18"/>
              </w:rPr>
              <w:t>.</w:t>
            </w:r>
            <w:r w:rsidRPr="007E45A3">
              <w:rPr>
                <w:szCs w:val="18"/>
              </w:rPr>
              <w:t xml:space="preserve"> </w:t>
            </w:r>
          </w:p>
          <w:p w14:paraId="72132C82" w14:textId="30E0752F" w:rsidR="0060279E" w:rsidRPr="005C7C96" w:rsidRDefault="0060279E" w:rsidP="00605F86">
            <w:pPr>
              <w:tabs>
                <w:tab w:val="left" w:pos="687"/>
                <w:tab w:val="left" w:pos="689"/>
              </w:tabs>
              <w:spacing w:beforeLines="40" w:before="96" w:afterLines="40" w:after="96" w:line="240" w:lineRule="auto"/>
              <w:ind w:right="174"/>
              <w:rPr>
                <w:szCs w:val="18"/>
              </w:rPr>
            </w:pPr>
            <w:r w:rsidRPr="003D08CA">
              <w:rPr>
                <w:szCs w:val="18"/>
              </w:rPr>
              <w:t xml:space="preserve">The discount rates applied should be as provided by the PRA as at the </w:t>
            </w:r>
            <w:r w:rsidR="003F7908">
              <w:rPr>
                <w:szCs w:val="18"/>
              </w:rPr>
              <w:t>balance sheet</w:t>
            </w:r>
            <w:r w:rsidR="003F7908" w:rsidRPr="003D08CA">
              <w:rPr>
                <w:szCs w:val="18"/>
              </w:rPr>
              <w:t xml:space="preserve"> </w:t>
            </w:r>
            <w:r w:rsidRPr="003D08CA">
              <w:rPr>
                <w:szCs w:val="18"/>
              </w:rPr>
              <w:t>date.</w:t>
            </w:r>
          </w:p>
        </w:tc>
      </w:tr>
      <w:tr w:rsidR="0060279E" w:rsidRPr="00D87146" w14:paraId="686522C5" w14:textId="77777777" w:rsidTr="00F3312B">
        <w:trPr>
          <w:cantSplit/>
          <w:trHeight w:val="307"/>
        </w:trPr>
        <w:tc>
          <w:tcPr>
            <w:tcW w:w="1555" w:type="dxa"/>
          </w:tcPr>
          <w:p w14:paraId="53203B04" w14:textId="77777777" w:rsidR="0060279E" w:rsidRDefault="0060279E" w:rsidP="00605F86">
            <w:pPr>
              <w:tabs>
                <w:tab w:val="left" w:pos="687"/>
                <w:tab w:val="left" w:pos="689"/>
              </w:tabs>
              <w:spacing w:beforeLines="40" w:before="96" w:afterLines="40" w:after="96" w:line="240" w:lineRule="auto"/>
              <w:ind w:right="174"/>
              <w:rPr>
                <w:szCs w:val="18"/>
              </w:rPr>
            </w:pPr>
            <w:r>
              <w:rPr>
                <w:szCs w:val="18"/>
              </w:rPr>
              <w:t>Line 13</w:t>
            </w:r>
          </w:p>
        </w:tc>
        <w:tc>
          <w:tcPr>
            <w:tcW w:w="2131" w:type="dxa"/>
          </w:tcPr>
          <w:p w14:paraId="1684F567" w14:textId="77777777" w:rsidR="0060279E" w:rsidRPr="009160D4" w:rsidRDefault="0060279E" w:rsidP="00605F86">
            <w:pPr>
              <w:tabs>
                <w:tab w:val="left" w:pos="687"/>
                <w:tab w:val="left" w:pos="689"/>
              </w:tabs>
              <w:spacing w:beforeLines="40" w:before="96" w:afterLines="40" w:after="96" w:line="240" w:lineRule="auto"/>
              <w:ind w:right="174"/>
              <w:rPr>
                <w:szCs w:val="18"/>
              </w:rPr>
            </w:pPr>
            <w:r>
              <w:rPr>
                <w:szCs w:val="18"/>
              </w:rPr>
              <w:t>Risk margin</w:t>
            </w:r>
          </w:p>
        </w:tc>
        <w:tc>
          <w:tcPr>
            <w:tcW w:w="5528" w:type="dxa"/>
          </w:tcPr>
          <w:p w14:paraId="05C727F2" w14:textId="1D403DC3" w:rsidR="0060279E" w:rsidRDefault="0060279E" w:rsidP="00605F86">
            <w:pPr>
              <w:tabs>
                <w:tab w:val="left" w:pos="687"/>
                <w:tab w:val="left" w:pos="689"/>
              </w:tabs>
              <w:spacing w:beforeLines="40" w:before="96" w:afterLines="40" w:after="96" w:line="240" w:lineRule="auto"/>
              <w:ind w:right="174"/>
              <w:rPr>
                <w:szCs w:val="18"/>
              </w:rPr>
            </w:pPr>
            <w:r w:rsidRPr="00656D14">
              <w:rPr>
                <w:szCs w:val="18"/>
              </w:rPr>
              <w:t xml:space="preserve">The explicit risk margin which is calculated for Solvency II technical provisions must be </w:t>
            </w:r>
            <w:r>
              <w:rPr>
                <w:szCs w:val="18"/>
              </w:rPr>
              <w:t>reported</w:t>
            </w:r>
            <w:r w:rsidRPr="00656D14">
              <w:rPr>
                <w:szCs w:val="18"/>
              </w:rPr>
              <w:t xml:space="preserve"> here as a negative adjustment.</w:t>
            </w:r>
          </w:p>
          <w:p w14:paraId="445412E1" w14:textId="48192ED7" w:rsidR="0060279E" w:rsidRPr="005C7C96" w:rsidRDefault="0060279E" w:rsidP="00605F86">
            <w:pPr>
              <w:tabs>
                <w:tab w:val="left" w:pos="687"/>
                <w:tab w:val="left" w:pos="689"/>
              </w:tabs>
              <w:spacing w:beforeLines="40" w:before="96" w:afterLines="40" w:after="96" w:line="240" w:lineRule="auto"/>
              <w:ind w:right="174"/>
              <w:rPr>
                <w:szCs w:val="18"/>
              </w:rPr>
            </w:pPr>
            <w:r w:rsidRPr="00656D14">
              <w:rPr>
                <w:szCs w:val="18"/>
              </w:rPr>
              <w:t xml:space="preserve">The total risk margin for all years of account must agree to </w:t>
            </w:r>
            <w:r>
              <w:rPr>
                <w:szCs w:val="18"/>
              </w:rPr>
              <w:t>IR.02.01</w:t>
            </w:r>
            <w:r w:rsidRPr="00656D14">
              <w:rPr>
                <w:szCs w:val="18"/>
              </w:rPr>
              <w:t xml:space="preserve">, </w:t>
            </w:r>
            <w:r>
              <w:rPr>
                <w:szCs w:val="18"/>
              </w:rPr>
              <w:t>C0010/R0552 - risk margin total</w:t>
            </w:r>
            <w:r w:rsidRPr="00656D14">
              <w:rPr>
                <w:szCs w:val="18"/>
              </w:rPr>
              <w:t>.</w:t>
            </w:r>
          </w:p>
        </w:tc>
      </w:tr>
      <w:tr w:rsidR="0060279E" w:rsidRPr="00D87146" w14:paraId="0A302919" w14:textId="77777777" w:rsidTr="00F3312B">
        <w:trPr>
          <w:cantSplit/>
          <w:trHeight w:val="307"/>
        </w:trPr>
        <w:tc>
          <w:tcPr>
            <w:tcW w:w="1555" w:type="dxa"/>
          </w:tcPr>
          <w:p w14:paraId="0AF3C207" w14:textId="77777777" w:rsidR="0060279E" w:rsidRDefault="0060279E" w:rsidP="00605F86">
            <w:pPr>
              <w:tabs>
                <w:tab w:val="left" w:pos="687"/>
                <w:tab w:val="left" w:pos="689"/>
              </w:tabs>
              <w:spacing w:beforeLines="40" w:before="96" w:afterLines="40" w:after="96" w:line="240" w:lineRule="auto"/>
              <w:ind w:right="174"/>
              <w:rPr>
                <w:szCs w:val="18"/>
              </w:rPr>
            </w:pPr>
            <w:r>
              <w:rPr>
                <w:szCs w:val="18"/>
              </w:rPr>
              <w:lastRenderedPageBreak/>
              <w:t>Line 14</w:t>
            </w:r>
          </w:p>
        </w:tc>
        <w:tc>
          <w:tcPr>
            <w:tcW w:w="2131" w:type="dxa"/>
          </w:tcPr>
          <w:p w14:paraId="44672D95" w14:textId="77777777" w:rsidR="0060279E" w:rsidRDefault="0060279E" w:rsidP="00605F86">
            <w:pPr>
              <w:tabs>
                <w:tab w:val="left" w:pos="687"/>
                <w:tab w:val="left" w:pos="689"/>
              </w:tabs>
              <w:spacing w:beforeLines="40" w:before="96" w:afterLines="40" w:after="96" w:line="240" w:lineRule="auto"/>
              <w:ind w:right="174"/>
              <w:rPr>
                <w:szCs w:val="18"/>
              </w:rPr>
            </w:pPr>
            <w:r w:rsidRPr="00155104">
              <w:rPr>
                <w:szCs w:val="18"/>
              </w:rPr>
              <w:t>Change in profit commission provision</w:t>
            </w:r>
          </w:p>
        </w:tc>
        <w:tc>
          <w:tcPr>
            <w:tcW w:w="5528" w:type="dxa"/>
          </w:tcPr>
          <w:p w14:paraId="21C921F4" w14:textId="6A0F4A10" w:rsidR="0060279E" w:rsidRPr="00D14213" w:rsidRDefault="0060279E" w:rsidP="00605F86">
            <w:pPr>
              <w:tabs>
                <w:tab w:val="left" w:pos="687"/>
                <w:tab w:val="left" w:pos="689"/>
              </w:tabs>
              <w:spacing w:beforeLines="40" w:before="96" w:afterLines="40" w:after="96" w:line="240" w:lineRule="auto"/>
              <w:ind w:right="174"/>
              <w:rPr>
                <w:szCs w:val="18"/>
              </w:rPr>
            </w:pPr>
            <w:r w:rsidRPr="00D14213">
              <w:rPr>
                <w:szCs w:val="18"/>
              </w:rPr>
              <w:t>Th</w:t>
            </w:r>
            <w:r>
              <w:rPr>
                <w:szCs w:val="18"/>
              </w:rPr>
              <w:t>is line reports the</w:t>
            </w:r>
            <w:r w:rsidRPr="00D14213">
              <w:rPr>
                <w:szCs w:val="18"/>
              </w:rPr>
              <w:t xml:space="preserve"> difference between the UK GAAP profit commission and the ‘notional’ Solvency II profit commission. This will be a negative item if the profit commission increases, otherwise a positive adjustment.</w:t>
            </w:r>
            <w:r>
              <w:rPr>
                <w:szCs w:val="18"/>
              </w:rPr>
              <w:t xml:space="preserve"> </w:t>
            </w:r>
          </w:p>
          <w:p w14:paraId="3C28440A" w14:textId="310EA367" w:rsidR="0060279E" w:rsidRPr="00D14213" w:rsidRDefault="0060279E" w:rsidP="00605F86">
            <w:pPr>
              <w:tabs>
                <w:tab w:val="left" w:pos="687"/>
                <w:tab w:val="left" w:pos="689"/>
              </w:tabs>
              <w:spacing w:beforeLines="40" w:before="96" w:afterLines="40" w:after="96" w:line="240" w:lineRule="auto"/>
              <w:ind w:right="174"/>
              <w:rPr>
                <w:szCs w:val="18"/>
              </w:rPr>
            </w:pPr>
            <w:r w:rsidRPr="00D14213">
              <w:rPr>
                <w:szCs w:val="18"/>
              </w:rPr>
              <w:t xml:space="preserve">The ‘notional’ Solvency II profit commission is only calculated for a reporting year of account which is naturally open or in run-off at the reporting date. </w:t>
            </w:r>
            <w:r>
              <w:rPr>
                <w:szCs w:val="18"/>
              </w:rPr>
              <w:t>Profit commission for a closing year is based on the UK GAAP data.</w:t>
            </w:r>
          </w:p>
          <w:p w14:paraId="6FC70886" w14:textId="17A92E69" w:rsidR="0060279E" w:rsidRDefault="0060279E" w:rsidP="00605F86">
            <w:pPr>
              <w:tabs>
                <w:tab w:val="left" w:pos="687"/>
                <w:tab w:val="left" w:pos="689"/>
              </w:tabs>
              <w:spacing w:beforeLines="40" w:before="96" w:afterLines="40" w:after="96" w:line="240" w:lineRule="auto"/>
              <w:ind w:right="174"/>
            </w:pPr>
            <w:r>
              <w:rPr>
                <w:szCs w:val="18"/>
              </w:rPr>
              <w:t>However, t</w:t>
            </w:r>
            <w:r w:rsidRPr="00D14213">
              <w:rPr>
                <w:szCs w:val="18"/>
              </w:rPr>
              <w:t>he ‘notional’ Solvency II profit commission in respect of the syndicate year of account accepting the RITC should reflect the impact of the Solvency II valuation differences in respect of the RITC being assumed.</w:t>
            </w:r>
          </w:p>
          <w:p w14:paraId="419EF52A" w14:textId="06C26A8D" w:rsidR="0060279E" w:rsidRPr="005C7C96" w:rsidRDefault="0060279E" w:rsidP="00605F86">
            <w:pPr>
              <w:tabs>
                <w:tab w:val="left" w:pos="687"/>
                <w:tab w:val="left" w:pos="689"/>
              </w:tabs>
              <w:spacing w:beforeLines="40" w:before="96" w:afterLines="40" w:after="96" w:line="240" w:lineRule="auto"/>
              <w:ind w:right="174"/>
              <w:rPr>
                <w:szCs w:val="18"/>
              </w:rPr>
            </w:pPr>
            <w:r w:rsidRPr="002512C6">
              <w:rPr>
                <w:szCs w:val="18"/>
              </w:rPr>
              <w:t>Where Solvency II adjustments are negative (i.e. reduces members’ balance), negative notional profit commission may be determined but only to the extent of the already booked positive UK GAAP profit commission. Therefore, cumulative notional Solvency II profit commission reflected</w:t>
            </w:r>
            <w:r>
              <w:rPr>
                <w:szCs w:val="18"/>
              </w:rPr>
              <w:t xml:space="preserve"> for a reporting year of account</w:t>
            </w:r>
            <w:r w:rsidRPr="002512C6">
              <w:rPr>
                <w:szCs w:val="18"/>
              </w:rPr>
              <w:t xml:space="preserve"> in the Solvency II balance sheet (</w:t>
            </w:r>
            <w:r>
              <w:rPr>
                <w:szCs w:val="18"/>
              </w:rPr>
              <w:t>IR.02.01</w:t>
            </w:r>
            <w:r w:rsidRPr="002512C6">
              <w:rPr>
                <w:szCs w:val="18"/>
              </w:rPr>
              <w:t xml:space="preserve">) should not be negative. </w:t>
            </w:r>
          </w:p>
        </w:tc>
      </w:tr>
      <w:tr w:rsidR="0060279E" w:rsidRPr="00D87146" w14:paraId="56857543" w14:textId="77777777" w:rsidTr="00F3312B">
        <w:trPr>
          <w:cantSplit/>
          <w:trHeight w:val="307"/>
        </w:trPr>
        <w:tc>
          <w:tcPr>
            <w:tcW w:w="1555" w:type="dxa"/>
          </w:tcPr>
          <w:p w14:paraId="74A55994" w14:textId="77777777" w:rsidR="0060279E" w:rsidRDefault="0060279E" w:rsidP="00605F86">
            <w:pPr>
              <w:tabs>
                <w:tab w:val="left" w:pos="687"/>
                <w:tab w:val="left" w:pos="689"/>
              </w:tabs>
              <w:spacing w:beforeLines="40" w:before="96" w:afterLines="40" w:after="96" w:line="240" w:lineRule="auto"/>
              <w:ind w:right="174"/>
              <w:rPr>
                <w:szCs w:val="18"/>
              </w:rPr>
            </w:pPr>
            <w:r>
              <w:rPr>
                <w:szCs w:val="18"/>
              </w:rPr>
              <w:t>Line 15</w:t>
            </w:r>
          </w:p>
        </w:tc>
        <w:tc>
          <w:tcPr>
            <w:tcW w:w="2131" w:type="dxa"/>
          </w:tcPr>
          <w:p w14:paraId="066A7722" w14:textId="77777777" w:rsidR="0060279E" w:rsidRPr="00155104" w:rsidRDefault="0060279E" w:rsidP="00605F86">
            <w:pPr>
              <w:tabs>
                <w:tab w:val="left" w:pos="687"/>
                <w:tab w:val="left" w:pos="689"/>
              </w:tabs>
              <w:spacing w:beforeLines="40" w:before="96" w:afterLines="40" w:after="96" w:line="240" w:lineRule="auto"/>
              <w:ind w:right="174"/>
              <w:rPr>
                <w:szCs w:val="18"/>
              </w:rPr>
            </w:pPr>
            <w:r w:rsidRPr="0047299E">
              <w:rPr>
                <w:szCs w:val="18"/>
              </w:rPr>
              <w:t>Transfer of Solvency II valuation difference to reinsuring syndicate year</w:t>
            </w:r>
          </w:p>
        </w:tc>
        <w:tc>
          <w:tcPr>
            <w:tcW w:w="5528" w:type="dxa"/>
          </w:tcPr>
          <w:p w14:paraId="3D690A46" w14:textId="5F403801" w:rsidR="0060279E" w:rsidRPr="00C90929" w:rsidRDefault="0060279E" w:rsidP="00605F86">
            <w:pPr>
              <w:tabs>
                <w:tab w:val="left" w:pos="687"/>
                <w:tab w:val="left" w:pos="689"/>
              </w:tabs>
              <w:spacing w:beforeLines="40" w:before="96" w:afterLines="40" w:after="96" w:line="240" w:lineRule="auto"/>
              <w:ind w:right="174"/>
              <w:rPr>
                <w:szCs w:val="18"/>
              </w:rPr>
            </w:pPr>
            <w:r w:rsidRPr="00C90929">
              <w:rPr>
                <w:szCs w:val="18"/>
              </w:rPr>
              <w:t xml:space="preserve">Where </w:t>
            </w:r>
            <w:r>
              <w:rPr>
                <w:szCs w:val="18"/>
              </w:rPr>
              <w:t>a</w:t>
            </w:r>
            <w:r w:rsidRPr="00C90929">
              <w:rPr>
                <w:szCs w:val="18"/>
              </w:rPr>
              <w:t xml:space="preserve"> reporting year of account is closing as at the reporting date, then the UK GAAP balance per </w:t>
            </w:r>
            <w:r>
              <w:rPr>
                <w:szCs w:val="18"/>
              </w:rPr>
              <w:t>the financial statements must</w:t>
            </w:r>
            <w:r w:rsidRPr="00C90929">
              <w:rPr>
                <w:szCs w:val="18"/>
              </w:rPr>
              <w:t xml:space="preserve"> be used for distribution purposes, and the impact of any underlying Solvency </w:t>
            </w:r>
            <w:r>
              <w:rPr>
                <w:szCs w:val="18"/>
              </w:rPr>
              <w:t>II</w:t>
            </w:r>
            <w:r w:rsidRPr="00C90929">
              <w:rPr>
                <w:szCs w:val="18"/>
              </w:rPr>
              <w:t xml:space="preserve"> valuation differences on the liabilities being transferred by RITC should be assumed by the reinsuring syndicate year.</w:t>
            </w:r>
          </w:p>
          <w:p w14:paraId="01BBFEBE" w14:textId="3DB16145" w:rsidR="0060279E" w:rsidRPr="00C90929" w:rsidRDefault="0060279E" w:rsidP="00605F86">
            <w:pPr>
              <w:tabs>
                <w:tab w:val="left" w:pos="687"/>
                <w:tab w:val="left" w:pos="689"/>
              </w:tabs>
              <w:spacing w:beforeLines="40" w:before="96" w:afterLines="40" w:after="96" w:line="240" w:lineRule="auto"/>
              <w:ind w:right="174"/>
              <w:rPr>
                <w:szCs w:val="18"/>
              </w:rPr>
            </w:pPr>
            <w:r w:rsidRPr="00C90929">
              <w:rPr>
                <w:szCs w:val="18"/>
              </w:rPr>
              <w:t>Therefore, for the closing year, the net impact of any valuation differences for Solvency II reported in lines 2 to 13 (as above there will be no entry on line 14 for the closing year) and Line 16 must be reversed out as a single net adjustment on line 15. In such a case, line 17 must be zero and line 18 must equal line 1.</w:t>
            </w:r>
          </w:p>
          <w:p w14:paraId="2428744D" w14:textId="497A7D26" w:rsidR="0060279E" w:rsidRPr="00C90929" w:rsidRDefault="0060279E" w:rsidP="00605F86">
            <w:pPr>
              <w:tabs>
                <w:tab w:val="left" w:pos="687"/>
                <w:tab w:val="left" w:pos="689"/>
              </w:tabs>
              <w:spacing w:beforeLines="40" w:before="96" w:afterLines="40" w:after="96" w:line="240" w:lineRule="auto"/>
              <w:ind w:right="174"/>
              <w:rPr>
                <w:szCs w:val="18"/>
              </w:rPr>
            </w:pPr>
            <w:r w:rsidRPr="00C90929">
              <w:rPr>
                <w:szCs w:val="18"/>
              </w:rPr>
              <w:t xml:space="preserve">For the reinsuring year of the same syndicate, the reverse of the entry made in line 15 for the closing year </w:t>
            </w:r>
            <w:r>
              <w:rPr>
                <w:szCs w:val="18"/>
              </w:rPr>
              <w:t>must</w:t>
            </w:r>
            <w:r w:rsidRPr="00C90929">
              <w:rPr>
                <w:szCs w:val="18"/>
              </w:rPr>
              <w:t xml:space="preserve"> be made, which will reflect the Solvency II valuation adjustments in respect of the reinsured year.</w:t>
            </w:r>
            <w:r>
              <w:rPr>
                <w:szCs w:val="18"/>
              </w:rPr>
              <w:t xml:space="preserve"> </w:t>
            </w:r>
            <w:r w:rsidRPr="00C90929">
              <w:rPr>
                <w:szCs w:val="18"/>
              </w:rPr>
              <w:t>Hence line 15, ‘total’ column will be nil.</w:t>
            </w:r>
          </w:p>
          <w:p w14:paraId="5A38F7C0" w14:textId="19DFBD48" w:rsidR="0060279E" w:rsidRPr="005C7C96" w:rsidRDefault="0060279E" w:rsidP="00605F86">
            <w:pPr>
              <w:tabs>
                <w:tab w:val="left" w:pos="687"/>
                <w:tab w:val="left" w:pos="689"/>
              </w:tabs>
              <w:spacing w:beforeLines="40" w:before="96" w:afterLines="40" w:after="96" w:line="240" w:lineRule="auto"/>
              <w:ind w:right="174"/>
              <w:rPr>
                <w:szCs w:val="18"/>
              </w:rPr>
            </w:pPr>
            <w:r w:rsidRPr="00C90929">
              <w:rPr>
                <w:szCs w:val="18"/>
              </w:rPr>
              <w:t>Where the syndicate year has closed into another syndicate, whether managed by the same or another managing agent, the reverse of the entry made in line 15 for the closing syndicate year shall be reported in th</w:t>
            </w:r>
            <w:r>
              <w:rPr>
                <w:szCs w:val="18"/>
              </w:rPr>
              <w:t>is template by</w:t>
            </w:r>
            <w:r w:rsidRPr="00C90929">
              <w:rPr>
                <w:szCs w:val="18"/>
              </w:rPr>
              <w:t xml:space="preserve"> the reinsuring syndicate year. </w:t>
            </w:r>
            <w:r>
              <w:rPr>
                <w:szCs w:val="18"/>
              </w:rPr>
              <w:t xml:space="preserve"> In this case only, the IR.02.01.01 of the closing and reinsuring syndicates </w:t>
            </w:r>
            <w:r w:rsidRPr="00B325E9">
              <w:rPr>
                <w:szCs w:val="18"/>
              </w:rPr>
              <w:t>must also each include a corresponding entry at C0010/R0420</w:t>
            </w:r>
            <w:r>
              <w:rPr>
                <w:szCs w:val="18"/>
              </w:rPr>
              <w:t xml:space="preserve"> or R0880 (other assets or liabilities, not elsewhere shown).</w:t>
            </w:r>
            <w:r w:rsidRPr="00C90929">
              <w:rPr>
                <w:szCs w:val="18"/>
              </w:rPr>
              <w:t>Note</w:t>
            </w:r>
            <w:r>
              <w:rPr>
                <w:szCs w:val="18"/>
              </w:rPr>
              <w:t>: This adjustment is required as at 31 December only.</w:t>
            </w:r>
          </w:p>
        </w:tc>
      </w:tr>
      <w:tr w:rsidR="0060279E" w:rsidRPr="00D87146" w14:paraId="5BB0FB8B" w14:textId="77777777" w:rsidTr="00F3312B">
        <w:trPr>
          <w:cantSplit/>
          <w:trHeight w:val="307"/>
        </w:trPr>
        <w:tc>
          <w:tcPr>
            <w:tcW w:w="1555" w:type="dxa"/>
          </w:tcPr>
          <w:p w14:paraId="58F0767C" w14:textId="77777777" w:rsidR="0060279E" w:rsidRDefault="0060279E" w:rsidP="00605F86">
            <w:pPr>
              <w:tabs>
                <w:tab w:val="left" w:pos="687"/>
                <w:tab w:val="left" w:pos="689"/>
              </w:tabs>
              <w:spacing w:beforeLines="40" w:before="96" w:afterLines="40" w:after="96" w:line="240" w:lineRule="auto"/>
              <w:ind w:right="174"/>
              <w:rPr>
                <w:szCs w:val="18"/>
              </w:rPr>
            </w:pPr>
            <w:r>
              <w:rPr>
                <w:szCs w:val="18"/>
              </w:rPr>
              <w:t>Line 16</w:t>
            </w:r>
          </w:p>
        </w:tc>
        <w:tc>
          <w:tcPr>
            <w:tcW w:w="2131" w:type="dxa"/>
          </w:tcPr>
          <w:p w14:paraId="1BFE6983" w14:textId="77777777" w:rsidR="0060279E" w:rsidRPr="00155104" w:rsidRDefault="0060279E" w:rsidP="00605F86">
            <w:pPr>
              <w:tabs>
                <w:tab w:val="left" w:pos="687"/>
                <w:tab w:val="left" w:pos="689"/>
              </w:tabs>
              <w:spacing w:beforeLines="40" w:before="96" w:afterLines="40" w:after="96" w:line="240" w:lineRule="auto"/>
              <w:ind w:right="174"/>
              <w:rPr>
                <w:szCs w:val="18"/>
              </w:rPr>
            </w:pPr>
            <w:r w:rsidRPr="0047299E">
              <w:rPr>
                <w:szCs w:val="18"/>
              </w:rPr>
              <w:t>Other adjustments</w:t>
            </w:r>
          </w:p>
        </w:tc>
        <w:tc>
          <w:tcPr>
            <w:tcW w:w="5528" w:type="dxa"/>
          </w:tcPr>
          <w:p w14:paraId="0A2280BD" w14:textId="14BD7CAF" w:rsidR="0060279E" w:rsidRDefault="0060279E" w:rsidP="00605F86">
            <w:pPr>
              <w:tabs>
                <w:tab w:val="left" w:pos="687"/>
                <w:tab w:val="left" w:pos="689"/>
              </w:tabs>
              <w:spacing w:beforeLines="40" w:before="96" w:afterLines="40" w:after="96" w:line="240" w:lineRule="auto"/>
              <w:ind w:right="174"/>
              <w:rPr>
                <w:szCs w:val="18"/>
              </w:rPr>
            </w:pPr>
            <w:r w:rsidRPr="00AC43A6">
              <w:rPr>
                <w:szCs w:val="18"/>
              </w:rPr>
              <w:t xml:space="preserve">The sum of any other adjustments must be reported here. </w:t>
            </w:r>
            <w:r>
              <w:rPr>
                <w:szCs w:val="18"/>
              </w:rPr>
              <w:t xml:space="preserve"> This line will be auto-populated from the </w:t>
            </w:r>
            <w:r w:rsidR="00B473F3">
              <w:rPr>
                <w:szCs w:val="18"/>
              </w:rPr>
              <w:t>‘</w:t>
            </w:r>
            <w:r w:rsidRPr="00F4444F">
              <w:rPr>
                <w:szCs w:val="18"/>
              </w:rPr>
              <w:t>Other Adjustments</w:t>
            </w:r>
            <w:r w:rsidR="00B473F3">
              <w:rPr>
                <w:szCs w:val="18"/>
              </w:rPr>
              <w:t>’ template</w:t>
            </w:r>
            <w:r>
              <w:rPr>
                <w:szCs w:val="18"/>
              </w:rPr>
              <w:t>.</w:t>
            </w:r>
          </w:p>
          <w:p w14:paraId="68B18456" w14:textId="44650CAE" w:rsidR="0060279E" w:rsidRPr="00AC43A6" w:rsidRDefault="0060279E" w:rsidP="00605F86">
            <w:pPr>
              <w:tabs>
                <w:tab w:val="left" w:pos="687"/>
                <w:tab w:val="left" w:pos="689"/>
              </w:tabs>
              <w:spacing w:beforeLines="40" w:before="96" w:afterLines="40" w:after="96" w:line="240" w:lineRule="auto"/>
              <w:ind w:right="174"/>
              <w:rPr>
                <w:szCs w:val="18"/>
              </w:rPr>
            </w:pPr>
            <w:r w:rsidRPr="001B0773">
              <w:rPr>
                <w:szCs w:val="18"/>
              </w:rPr>
              <w:t>Where a loading is being included due to the earned margin test or the profit in unearned premium test these should be communicated in the analysis table.</w:t>
            </w:r>
          </w:p>
          <w:p w14:paraId="7D2EC17D" w14:textId="51B06C34" w:rsidR="0060279E" w:rsidRDefault="0060279E" w:rsidP="00605F86">
            <w:pPr>
              <w:tabs>
                <w:tab w:val="left" w:pos="687"/>
                <w:tab w:val="left" w:pos="689"/>
              </w:tabs>
              <w:spacing w:beforeLines="40" w:before="96" w:afterLines="40" w:after="96" w:line="240" w:lineRule="auto"/>
              <w:ind w:right="174"/>
              <w:rPr>
                <w:szCs w:val="18"/>
              </w:rPr>
            </w:pPr>
            <w:r w:rsidRPr="00AC43A6">
              <w:rPr>
                <w:szCs w:val="18"/>
              </w:rPr>
              <w:t>Where a loading has been applied for the restriction of line 4 (Elimination of margin for prudence within earned claims provisions and RI bad debt) or restriction of profit in unearned premium based on lines 19/20 the adjustment can be included as part of line 16</w:t>
            </w:r>
            <w:r>
              <w:rPr>
                <w:szCs w:val="18"/>
              </w:rPr>
              <w:t xml:space="preserve">. </w:t>
            </w:r>
          </w:p>
          <w:p w14:paraId="0509954A" w14:textId="1F31D65E" w:rsidR="0060279E" w:rsidRPr="005C7C96" w:rsidRDefault="0060279E" w:rsidP="00605F86">
            <w:pPr>
              <w:tabs>
                <w:tab w:val="left" w:pos="687"/>
                <w:tab w:val="left" w:pos="689"/>
              </w:tabs>
              <w:spacing w:beforeLines="40" w:before="96" w:afterLines="40" w:after="96" w:line="240" w:lineRule="auto"/>
              <w:ind w:right="174"/>
              <w:rPr>
                <w:szCs w:val="18"/>
              </w:rPr>
            </w:pPr>
            <w:r w:rsidRPr="00AC43A6">
              <w:rPr>
                <w:szCs w:val="18"/>
              </w:rPr>
              <w:t>The preferred format is for an adjustment to be made to line 4 or line 8</w:t>
            </w:r>
            <w:r w:rsidR="00603097">
              <w:rPr>
                <w:szCs w:val="18"/>
              </w:rPr>
              <w:t>,</w:t>
            </w:r>
            <w:r w:rsidRPr="00AC43A6">
              <w:rPr>
                <w:szCs w:val="18"/>
              </w:rPr>
              <w:t xml:space="preserve"> rather than line 16</w:t>
            </w:r>
            <w:r>
              <w:rPr>
                <w:szCs w:val="18"/>
              </w:rPr>
              <w:t>.</w:t>
            </w:r>
          </w:p>
        </w:tc>
      </w:tr>
      <w:tr w:rsidR="0060279E" w:rsidRPr="00D87146" w14:paraId="7BAC3082" w14:textId="77777777" w:rsidTr="00F3312B">
        <w:trPr>
          <w:cantSplit/>
          <w:trHeight w:val="307"/>
        </w:trPr>
        <w:tc>
          <w:tcPr>
            <w:tcW w:w="1555" w:type="dxa"/>
          </w:tcPr>
          <w:p w14:paraId="2FAEDE29" w14:textId="77777777" w:rsidR="0060279E" w:rsidRDefault="0060279E" w:rsidP="00605F86">
            <w:pPr>
              <w:tabs>
                <w:tab w:val="left" w:pos="687"/>
                <w:tab w:val="left" w:pos="689"/>
              </w:tabs>
              <w:spacing w:beforeLines="40" w:before="96" w:afterLines="40" w:after="96" w:line="240" w:lineRule="auto"/>
              <w:ind w:right="174"/>
              <w:rPr>
                <w:szCs w:val="18"/>
              </w:rPr>
            </w:pPr>
            <w:r>
              <w:rPr>
                <w:szCs w:val="18"/>
              </w:rPr>
              <w:lastRenderedPageBreak/>
              <w:t>Line 17</w:t>
            </w:r>
          </w:p>
        </w:tc>
        <w:tc>
          <w:tcPr>
            <w:tcW w:w="2131" w:type="dxa"/>
          </w:tcPr>
          <w:p w14:paraId="628D9C7D" w14:textId="77777777" w:rsidR="0060279E" w:rsidRPr="0047299E" w:rsidRDefault="0060279E" w:rsidP="00605F86">
            <w:pPr>
              <w:tabs>
                <w:tab w:val="left" w:pos="687"/>
                <w:tab w:val="left" w:pos="689"/>
              </w:tabs>
              <w:spacing w:beforeLines="40" w:before="96" w:afterLines="40" w:after="96" w:line="240" w:lineRule="auto"/>
              <w:ind w:right="174"/>
              <w:rPr>
                <w:szCs w:val="18"/>
              </w:rPr>
            </w:pPr>
            <w:r>
              <w:rPr>
                <w:szCs w:val="18"/>
              </w:rPr>
              <w:t>Total adjustments</w:t>
            </w:r>
          </w:p>
        </w:tc>
        <w:tc>
          <w:tcPr>
            <w:tcW w:w="5528" w:type="dxa"/>
          </w:tcPr>
          <w:p w14:paraId="6DB96031" w14:textId="55F9841A" w:rsidR="0060279E" w:rsidRPr="00AC43A6" w:rsidRDefault="0060279E" w:rsidP="00605F86">
            <w:pPr>
              <w:tabs>
                <w:tab w:val="left" w:pos="687"/>
                <w:tab w:val="left" w:pos="689"/>
              </w:tabs>
              <w:spacing w:beforeLines="40" w:before="96" w:afterLines="40" w:after="96" w:line="240" w:lineRule="auto"/>
              <w:ind w:right="174"/>
              <w:rPr>
                <w:szCs w:val="18"/>
              </w:rPr>
            </w:pPr>
            <w:r w:rsidRPr="00DC6BBE">
              <w:rPr>
                <w:szCs w:val="18"/>
              </w:rPr>
              <w:t>This is the sum of lines 2 to 16</w:t>
            </w:r>
            <w:r>
              <w:rPr>
                <w:szCs w:val="18"/>
              </w:rPr>
              <w:t>.</w:t>
            </w:r>
            <w:r w:rsidRPr="00DC6BBE">
              <w:rPr>
                <w:szCs w:val="18"/>
              </w:rPr>
              <w:t xml:space="preserve"> Where the year is closing at the reporting date, the entry in line 17 must be zero.</w:t>
            </w:r>
          </w:p>
        </w:tc>
      </w:tr>
      <w:tr w:rsidR="0060279E" w:rsidRPr="00D87146" w14:paraId="55D507B5" w14:textId="77777777" w:rsidTr="00F3312B">
        <w:trPr>
          <w:cantSplit/>
          <w:trHeight w:val="307"/>
        </w:trPr>
        <w:tc>
          <w:tcPr>
            <w:tcW w:w="1555" w:type="dxa"/>
          </w:tcPr>
          <w:p w14:paraId="17CDDD0C" w14:textId="77777777" w:rsidR="0060279E" w:rsidRDefault="0060279E" w:rsidP="00605F86">
            <w:pPr>
              <w:tabs>
                <w:tab w:val="left" w:pos="687"/>
                <w:tab w:val="left" w:pos="689"/>
              </w:tabs>
              <w:spacing w:beforeLines="40" w:before="96" w:afterLines="40" w:after="96" w:line="240" w:lineRule="auto"/>
              <w:ind w:right="174"/>
              <w:rPr>
                <w:szCs w:val="18"/>
              </w:rPr>
            </w:pPr>
            <w:r>
              <w:rPr>
                <w:szCs w:val="18"/>
              </w:rPr>
              <w:t>Line 18</w:t>
            </w:r>
          </w:p>
        </w:tc>
        <w:tc>
          <w:tcPr>
            <w:tcW w:w="2131" w:type="dxa"/>
          </w:tcPr>
          <w:p w14:paraId="4FA5C58A" w14:textId="77777777" w:rsidR="0060279E" w:rsidRPr="0047299E" w:rsidRDefault="0060279E" w:rsidP="00605F86">
            <w:pPr>
              <w:tabs>
                <w:tab w:val="left" w:pos="687"/>
                <w:tab w:val="left" w:pos="689"/>
              </w:tabs>
              <w:spacing w:beforeLines="40" w:before="96" w:afterLines="40" w:after="96" w:line="240" w:lineRule="auto"/>
              <w:ind w:right="174"/>
              <w:rPr>
                <w:szCs w:val="18"/>
              </w:rPr>
            </w:pPr>
            <w:r>
              <w:rPr>
                <w:szCs w:val="18"/>
              </w:rPr>
              <w:t>Solvency II members’ balance</w:t>
            </w:r>
          </w:p>
        </w:tc>
        <w:tc>
          <w:tcPr>
            <w:tcW w:w="5528" w:type="dxa"/>
          </w:tcPr>
          <w:p w14:paraId="2598111B" w14:textId="2CB3FF9D" w:rsidR="0060279E" w:rsidRPr="00AC43A6" w:rsidRDefault="0060279E" w:rsidP="00605F86">
            <w:pPr>
              <w:tabs>
                <w:tab w:val="left" w:pos="687"/>
                <w:tab w:val="left" w:pos="689"/>
              </w:tabs>
              <w:spacing w:beforeLines="40" w:before="96" w:afterLines="40" w:after="96" w:line="240" w:lineRule="auto"/>
              <w:ind w:right="174"/>
              <w:rPr>
                <w:szCs w:val="18"/>
              </w:rPr>
            </w:pPr>
            <w:r>
              <w:rPr>
                <w:szCs w:val="18"/>
              </w:rPr>
              <w:t>T</w:t>
            </w:r>
            <w:r w:rsidRPr="00ED0131">
              <w:rPr>
                <w:szCs w:val="18"/>
              </w:rPr>
              <w:t>he</w:t>
            </w:r>
            <w:r>
              <w:rPr>
                <w:szCs w:val="18"/>
              </w:rPr>
              <w:t xml:space="preserve"> total</w:t>
            </w:r>
            <w:r w:rsidRPr="00ED0131">
              <w:rPr>
                <w:szCs w:val="18"/>
              </w:rPr>
              <w:t xml:space="preserve"> amount </w:t>
            </w:r>
            <w:r>
              <w:rPr>
                <w:szCs w:val="18"/>
              </w:rPr>
              <w:t xml:space="preserve">for all years of account </w:t>
            </w:r>
            <w:r>
              <w:rPr>
                <w:rFonts w:cs="Arial"/>
              </w:rPr>
              <w:t>plus FIS where applicable</w:t>
            </w:r>
            <w:r w:rsidRPr="00ED0131">
              <w:rPr>
                <w:szCs w:val="18"/>
              </w:rPr>
              <w:t xml:space="preserve"> must agree to </w:t>
            </w:r>
            <w:r>
              <w:rPr>
                <w:szCs w:val="18"/>
              </w:rPr>
              <w:t>IR.02.01,01 / IR.02.01.02 C0010/R1000 (Solvency II value – excess of assets over liabilities).</w:t>
            </w:r>
            <w:r>
              <w:rPr>
                <w:rFonts w:eastAsia="Arial" w:cs="Arial"/>
                <w:szCs w:val="18"/>
                <w:lang w:eastAsia="en-US"/>
              </w:rPr>
              <w:t xml:space="preserve"> </w:t>
            </w:r>
          </w:p>
        </w:tc>
      </w:tr>
    </w:tbl>
    <w:p w14:paraId="6745B976" w14:textId="0425CA60" w:rsidR="00231A8E" w:rsidRDefault="00231A8E">
      <w:pPr>
        <w:pStyle w:val="Heading2"/>
      </w:pPr>
      <w:bookmarkStart w:id="23" w:name="_Toc213670919"/>
      <w:bookmarkStart w:id="24" w:name="_Toc213767672"/>
      <w:bookmarkStart w:id="25" w:name="_Toc213830689"/>
      <w:bookmarkStart w:id="26" w:name="_Toc214831149"/>
      <w:bookmarkStart w:id="27" w:name="_Toc225844970"/>
      <w:bookmarkEnd w:id="22"/>
      <w:bookmarkEnd w:id="23"/>
      <w:bookmarkEnd w:id="24"/>
      <w:bookmarkEnd w:id="25"/>
      <w:bookmarkEnd w:id="26"/>
      <w:r>
        <w:t>Unearned</w:t>
      </w:r>
      <w:r w:rsidR="002B6463">
        <w:t xml:space="preserve"> incepted ultimate premiums and claims</w:t>
      </w:r>
      <w:bookmarkEnd w:id="27"/>
    </w:p>
    <w:p w14:paraId="3112297F" w14:textId="55A432D2" w:rsidR="00A3632E" w:rsidRDefault="00590D3E" w:rsidP="00A10322">
      <w:pPr>
        <w:pStyle w:val="Bullet"/>
      </w:pPr>
      <w:r w:rsidRPr="006E57CC">
        <w:t>Lines 1</w:t>
      </w:r>
      <w:r w:rsidR="00FC2BC5" w:rsidRPr="006E57CC">
        <w:t>9 to 20</w:t>
      </w:r>
      <w:r w:rsidRPr="006E57CC">
        <w:t xml:space="preserve"> must be completed in accordance with the instructions below</w:t>
      </w:r>
      <w:r w:rsidR="00D44FEE" w:rsidRPr="006E57CC">
        <w:t>.</w:t>
      </w:r>
    </w:p>
    <w:tbl>
      <w:tblPr>
        <w:tblStyle w:val="GridTable1Light"/>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701"/>
        <w:gridCol w:w="1701"/>
        <w:gridCol w:w="5811"/>
      </w:tblGrid>
      <w:tr w:rsidR="009F6D8E" w:rsidRPr="00D87146" w14:paraId="264199B6" w14:textId="77777777" w:rsidTr="00D02945">
        <w:trPr>
          <w:cantSplit/>
          <w:trHeight w:val="307"/>
        </w:trPr>
        <w:tc>
          <w:tcPr>
            <w:tcW w:w="1701" w:type="dxa"/>
            <w:shd w:val="clear" w:color="auto" w:fill="F2F2F2" w:themeFill="background1" w:themeFillShade="F2"/>
          </w:tcPr>
          <w:p w14:paraId="20E4E767" w14:textId="7F466AD9" w:rsidR="009F6D8E" w:rsidRDefault="009F6D8E" w:rsidP="008E31E0">
            <w:pPr>
              <w:tabs>
                <w:tab w:val="left" w:pos="687"/>
                <w:tab w:val="left" w:pos="689"/>
              </w:tabs>
              <w:spacing w:beforeLines="40" w:before="96" w:afterLines="40" w:after="96" w:line="240" w:lineRule="auto"/>
              <w:ind w:right="174"/>
              <w:rPr>
                <w:szCs w:val="18"/>
              </w:rPr>
            </w:pPr>
            <w:bookmarkStart w:id="28" w:name="_a32dedad_3c5b_4cdf_8924_dedbbfcaaba8"/>
            <w:r w:rsidRPr="005136C1">
              <w:rPr>
                <w:rFonts w:eastAsia="Arial" w:cs="Arial"/>
                <w:b/>
                <w:bCs/>
                <w:szCs w:val="18"/>
                <w:lang w:eastAsia="en-US"/>
              </w:rPr>
              <w:t xml:space="preserve">Line </w:t>
            </w:r>
            <w:r>
              <w:rPr>
                <w:rFonts w:eastAsia="Arial" w:cs="Arial"/>
                <w:b/>
                <w:bCs/>
                <w:szCs w:val="18"/>
                <w:lang w:eastAsia="en-US"/>
              </w:rPr>
              <w:t>number</w:t>
            </w:r>
          </w:p>
        </w:tc>
        <w:tc>
          <w:tcPr>
            <w:tcW w:w="1701" w:type="dxa"/>
            <w:shd w:val="clear" w:color="auto" w:fill="F2F2F2" w:themeFill="background1" w:themeFillShade="F2"/>
          </w:tcPr>
          <w:p w14:paraId="088E159E" w14:textId="3ACFCDD0" w:rsidR="009F6D8E" w:rsidRPr="008B09D8" w:rsidRDefault="009F6D8E" w:rsidP="008E31E0">
            <w:pPr>
              <w:tabs>
                <w:tab w:val="left" w:pos="687"/>
                <w:tab w:val="left" w:pos="689"/>
              </w:tabs>
              <w:spacing w:beforeLines="40" w:before="96" w:afterLines="40" w:after="96" w:line="240" w:lineRule="auto"/>
              <w:ind w:right="174"/>
              <w:rPr>
                <w:szCs w:val="18"/>
              </w:rPr>
            </w:pPr>
            <w:r>
              <w:rPr>
                <w:rFonts w:eastAsia="Arial" w:cs="Arial"/>
                <w:b/>
                <w:bCs/>
                <w:szCs w:val="18"/>
                <w:lang w:eastAsia="en-US"/>
              </w:rPr>
              <w:t>Line</w:t>
            </w:r>
            <w:r w:rsidRPr="00625DCD">
              <w:rPr>
                <w:rFonts w:eastAsia="Arial" w:cs="Arial"/>
                <w:b/>
                <w:bCs/>
                <w:szCs w:val="18"/>
                <w:lang w:eastAsia="en-US"/>
              </w:rPr>
              <w:t xml:space="preserve"> description</w:t>
            </w:r>
          </w:p>
        </w:tc>
        <w:tc>
          <w:tcPr>
            <w:tcW w:w="5811" w:type="dxa"/>
            <w:shd w:val="clear" w:color="auto" w:fill="F2F2F2" w:themeFill="background1" w:themeFillShade="F2"/>
          </w:tcPr>
          <w:p w14:paraId="4DE0058C" w14:textId="51177BEE" w:rsidR="009F6D8E" w:rsidRPr="007A2B70" w:rsidRDefault="009F6D8E" w:rsidP="008E31E0">
            <w:pPr>
              <w:tabs>
                <w:tab w:val="left" w:pos="687"/>
                <w:tab w:val="left" w:pos="689"/>
              </w:tabs>
              <w:spacing w:beforeLines="40" w:before="96" w:afterLines="40" w:after="96" w:line="240" w:lineRule="auto"/>
              <w:ind w:right="174"/>
              <w:rPr>
                <w:szCs w:val="18"/>
              </w:rPr>
            </w:pPr>
            <w:r>
              <w:rPr>
                <w:rFonts w:eastAsia="Arial" w:cs="Arial"/>
                <w:b/>
                <w:bCs/>
                <w:szCs w:val="18"/>
                <w:lang w:eastAsia="en-US"/>
              </w:rPr>
              <w:t>Instruction</w:t>
            </w:r>
          </w:p>
        </w:tc>
      </w:tr>
      <w:tr w:rsidR="00CA53DD" w:rsidRPr="00D87146" w14:paraId="455028B3" w14:textId="77777777" w:rsidTr="00D02945">
        <w:trPr>
          <w:cantSplit/>
          <w:trHeight w:val="307"/>
        </w:trPr>
        <w:tc>
          <w:tcPr>
            <w:tcW w:w="1701" w:type="dxa"/>
          </w:tcPr>
          <w:p w14:paraId="5CB2D4DF" w14:textId="5EA7604E" w:rsidR="00CA53DD" w:rsidRDefault="008B09D8" w:rsidP="008E31E0">
            <w:pPr>
              <w:tabs>
                <w:tab w:val="left" w:pos="687"/>
                <w:tab w:val="left" w:pos="689"/>
              </w:tabs>
              <w:spacing w:beforeLines="40" w:before="96" w:afterLines="40" w:after="96" w:line="240" w:lineRule="auto"/>
              <w:ind w:right="174"/>
              <w:rPr>
                <w:szCs w:val="18"/>
              </w:rPr>
            </w:pPr>
            <w:r>
              <w:rPr>
                <w:szCs w:val="18"/>
              </w:rPr>
              <w:t>Line 19</w:t>
            </w:r>
          </w:p>
        </w:tc>
        <w:tc>
          <w:tcPr>
            <w:tcW w:w="1701" w:type="dxa"/>
          </w:tcPr>
          <w:p w14:paraId="539D51FE" w14:textId="26DCA7ED" w:rsidR="00CA53DD" w:rsidRPr="0047299E" w:rsidRDefault="008B09D8" w:rsidP="008E31E0">
            <w:pPr>
              <w:tabs>
                <w:tab w:val="left" w:pos="687"/>
                <w:tab w:val="left" w:pos="689"/>
              </w:tabs>
              <w:spacing w:beforeLines="40" w:before="96" w:afterLines="40" w:after="96" w:line="240" w:lineRule="auto"/>
              <w:ind w:right="174"/>
              <w:rPr>
                <w:szCs w:val="18"/>
              </w:rPr>
            </w:pPr>
            <w:r w:rsidRPr="008B09D8">
              <w:rPr>
                <w:szCs w:val="18"/>
              </w:rPr>
              <w:t>Unearned Incepted Ultimate Premium</w:t>
            </w:r>
          </w:p>
        </w:tc>
        <w:tc>
          <w:tcPr>
            <w:tcW w:w="5811" w:type="dxa"/>
          </w:tcPr>
          <w:p w14:paraId="46AB5C76" w14:textId="33DC5BB4" w:rsidR="007A2B70" w:rsidRPr="007A2B70" w:rsidRDefault="007A2B70" w:rsidP="008E31E0">
            <w:pPr>
              <w:tabs>
                <w:tab w:val="left" w:pos="687"/>
                <w:tab w:val="left" w:pos="689"/>
              </w:tabs>
              <w:spacing w:beforeLines="40" w:before="96" w:afterLines="40" w:after="96" w:line="240" w:lineRule="auto"/>
              <w:ind w:right="174"/>
              <w:rPr>
                <w:szCs w:val="18"/>
              </w:rPr>
            </w:pPr>
            <w:r w:rsidRPr="007A2B70">
              <w:rPr>
                <w:szCs w:val="18"/>
              </w:rPr>
              <w:t>This line is required for all quarterly/annual submissions.</w:t>
            </w:r>
          </w:p>
          <w:p w14:paraId="411FDCCA" w14:textId="394CD7B7" w:rsidR="001D0530" w:rsidRPr="00733227" w:rsidRDefault="007A2B70" w:rsidP="008E31E0">
            <w:pPr>
              <w:tabs>
                <w:tab w:val="left" w:pos="687"/>
                <w:tab w:val="left" w:pos="689"/>
              </w:tabs>
              <w:spacing w:beforeLines="40" w:before="96" w:afterLines="40" w:after="96" w:line="240" w:lineRule="auto"/>
              <w:ind w:right="174"/>
              <w:rPr>
                <w:szCs w:val="18"/>
              </w:rPr>
            </w:pPr>
            <w:r w:rsidRPr="007A2B70">
              <w:rPr>
                <w:szCs w:val="18"/>
              </w:rPr>
              <w:t>The total unearned incepted premium must be reported here. It should be net of RI and should be considered as the ultimate equivalent to the component entry for line 5 that only contains the portion related to future unearned premiums. This should be a positive entry.</w:t>
            </w:r>
          </w:p>
          <w:p w14:paraId="555F5517" w14:textId="23C66696" w:rsidR="00BA6E65" w:rsidRPr="00AC43A6" w:rsidRDefault="00356320" w:rsidP="008E31E0">
            <w:pPr>
              <w:spacing w:line="240" w:lineRule="auto"/>
              <w:rPr>
                <w:szCs w:val="18"/>
              </w:rPr>
            </w:pPr>
            <w:r w:rsidRPr="00C91D47">
              <w:rPr>
                <w:rFonts w:cs="Arial"/>
              </w:rPr>
              <w:t xml:space="preserve">The unearned incepted loss ratio that will be derived in conjunction with Line 20 (Line 20 divided by Line 19) must not be </w:t>
            </w:r>
            <w:r>
              <w:rPr>
                <w:rFonts w:cs="Arial"/>
              </w:rPr>
              <w:t>less</w:t>
            </w:r>
            <w:r w:rsidRPr="00C91D47">
              <w:rPr>
                <w:rFonts w:cs="Arial"/>
              </w:rPr>
              <w:t xml:space="preserve"> than that corresponding to the value identified by the Signing Actuary in the SAO template and report (or formal letter). </w:t>
            </w:r>
            <w:r w:rsidR="0026197A">
              <w:rPr>
                <w:rFonts w:cs="Arial"/>
              </w:rPr>
              <w:t>L</w:t>
            </w:r>
            <w:r w:rsidR="008F4E74">
              <w:rPr>
                <w:rFonts w:cs="Arial"/>
              </w:rPr>
              <w:t>loyd’s</w:t>
            </w:r>
            <w:r w:rsidRPr="00C91D47">
              <w:rPr>
                <w:rFonts w:cs="Arial"/>
              </w:rPr>
              <w:t xml:space="preserve"> expect</w:t>
            </w:r>
            <w:r w:rsidR="008F4E74">
              <w:rPr>
                <w:rFonts w:cs="Arial"/>
              </w:rPr>
              <w:t>s</w:t>
            </w:r>
            <w:r w:rsidRPr="00C91D47">
              <w:rPr>
                <w:rFonts w:cs="Arial"/>
              </w:rPr>
              <w:t xml:space="preserve"> a consistent premium basis (i.e. Net-Gross or Net-Net with consistent assessment of DAC) as reported by the Signing Actuary although it is not necessarily the case that the ultimate premium identified would be the same</w:t>
            </w:r>
            <w:r>
              <w:rPr>
                <w:rFonts w:cs="Arial"/>
              </w:rPr>
              <w:t>.</w:t>
            </w:r>
          </w:p>
        </w:tc>
      </w:tr>
      <w:tr w:rsidR="00CA53DD" w:rsidRPr="00D87146" w14:paraId="4BEF894F" w14:textId="77777777" w:rsidTr="00D02945">
        <w:trPr>
          <w:cantSplit/>
          <w:trHeight w:val="307"/>
        </w:trPr>
        <w:tc>
          <w:tcPr>
            <w:tcW w:w="1701" w:type="dxa"/>
          </w:tcPr>
          <w:p w14:paraId="200F15AC" w14:textId="47B1FFD8" w:rsidR="00CA53DD" w:rsidRDefault="008B09D8" w:rsidP="008E31E0">
            <w:pPr>
              <w:tabs>
                <w:tab w:val="left" w:pos="687"/>
                <w:tab w:val="left" w:pos="689"/>
              </w:tabs>
              <w:spacing w:beforeLines="40" w:before="96" w:afterLines="40" w:after="96" w:line="240" w:lineRule="auto"/>
              <w:ind w:right="174"/>
              <w:rPr>
                <w:szCs w:val="18"/>
              </w:rPr>
            </w:pPr>
            <w:r>
              <w:rPr>
                <w:szCs w:val="18"/>
              </w:rPr>
              <w:t>Line 20</w:t>
            </w:r>
          </w:p>
        </w:tc>
        <w:tc>
          <w:tcPr>
            <w:tcW w:w="1701" w:type="dxa"/>
          </w:tcPr>
          <w:p w14:paraId="7DBF2EBD" w14:textId="4AED1DA7" w:rsidR="00CA53DD" w:rsidRPr="0047299E" w:rsidRDefault="008B09D8" w:rsidP="008E31E0">
            <w:pPr>
              <w:tabs>
                <w:tab w:val="left" w:pos="687"/>
                <w:tab w:val="left" w:pos="689"/>
              </w:tabs>
              <w:spacing w:beforeLines="40" w:before="96" w:afterLines="40" w:after="96" w:line="240" w:lineRule="auto"/>
              <w:ind w:right="174"/>
              <w:rPr>
                <w:szCs w:val="18"/>
              </w:rPr>
            </w:pPr>
            <w:r w:rsidRPr="008B09D8">
              <w:rPr>
                <w:szCs w:val="18"/>
              </w:rPr>
              <w:t>Unearned Incepted Ultimate Claims</w:t>
            </w:r>
          </w:p>
        </w:tc>
        <w:tc>
          <w:tcPr>
            <w:tcW w:w="5811" w:type="dxa"/>
          </w:tcPr>
          <w:p w14:paraId="07BC5DE1" w14:textId="1B1761B8" w:rsidR="00750A5B" w:rsidRPr="00750A5B" w:rsidRDefault="00750A5B" w:rsidP="008E31E0">
            <w:pPr>
              <w:tabs>
                <w:tab w:val="left" w:pos="687"/>
                <w:tab w:val="left" w:pos="689"/>
              </w:tabs>
              <w:spacing w:beforeLines="40" w:before="96" w:afterLines="40" w:after="96" w:line="240" w:lineRule="auto"/>
              <w:ind w:right="174"/>
              <w:rPr>
                <w:szCs w:val="18"/>
              </w:rPr>
            </w:pPr>
            <w:r w:rsidRPr="00750A5B">
              <w:rPr>
                <w:szCs w:val="18"/>
              </w:rPr>
              <w:t xml:space="preserve">This line is required for all quarterly/annual submissions. </w:t>
            </w:r>
          </w:p>
          <w:p w14:paraId="5798E800" w14:textId="5C61CC3E" w:rsidR="008253D5" w:rsidRDefault="00750A5B" w:rsidP="008E31E0">
            <w:pPr>
              <w:tabs>
                <w:tab w:val="left" w:pos="687"/>
                <w:tab w:val="left" w:pos="689"/>
              </w:tabs>
              <w:spacing w:beforeLines="40" w:before="96" w:afterLines="40" w:after="96" w:line="240" w:lineRule="auto"/>
              <w:ind w:right="174"/>
              <w:rPr>
                <w:szCs w:val="18"/>
              </w:rPr>
            </w:pPr>
            <w:r w:rsidRPr="00750A5B">
              <w:rPr>
                <w:szCs w:val="18"/>
              </w:rPr>
              <w:t xml:space="preserve">The total unearned incepted claims must be reported here. </w:t>
            </w:r>
            <w:r w:rsidR="008B7C88">
              <w:rPr>
                <w:szCs w:val="18"/>
              </w:rPr>
              <w:t>This</w:t>
            </w:r>
            <w:r w:rsidR="008B7C88" w:rsidRPr="00750A5B">
              <w:rPr>
                <w:szCs w:val="18"/>
              </w:rPr>
              <w:t xml:space="preserve"> </w:t>
            </w:r>
            <w:r w:rsidRPr="00750A5B">
              <w:rPr>
                <w:szCs w:val="18"/>
              </w:rPr>
              <w:t>includes ALAE, ULAE and bad debt provision and should be considered as exclusively the claims portion of line 8</w:t>
            </w:r>
            <w:r w:rsidR="00B46AF6">
              <w:rPr>
                <w:szCs w:val="18"/>
              </w:rPr>
              <w:t>,</w:t>
            </w:r>
            <w:r w:rsidRPr="00750A5B">
              <w:rPr>
                <w:szCs w:val="18"/>
              </w:rPr>
              <w:t xml:space="preserve"> which reports all future costs. This should be a negative entry.</w:t>
            </w:r>
            <w:r w:rsidR="00F51386">
              <w:rPr>
                <w:szCs w:val="18"/>
              </w:rPr>
              <w:t xml:space="preserve"> </w:t>
            </w:r>
          </w:p>
          <w:p w14:paraId="695E29EB" w14:textId="095587EB" w:rsidR="00384F33" w:rsidRDefault="00750A5B" w:rsidP="008E31E0">
            <w:pPr>
              <w:tabs>
                <w:tab w:val="left" w:pos="687"/>
                <w:tab w:val="left" w:pos="689"/>
              </w:tabs>
              <w:spacing w:beforeLines="40" w:before="96" w:afterLines="40" w:after="96" w:line="240" w:lineRule="auto"/>
              <w:ind w:right="174"/>
              <w:rPr>
                <w:szCs w:val="18"/>
              </w:rPr>
            </w:pPr>
            <w:r w:rsidRPr="00750A5B">
              <w:rPr>
                <w:szCs w:val="18"/>
              </w:rPr>
              <w:t xml:space="preserve">This entry will be used in conjunction with line 19 to produce the unearned loss ratio to compare with the SAO template as described in the </w:t>
            </w:r>
            <w:r w:rsidR="00384F33">
              <w:rPr>
                <w:szCs w:val="18"/>
              </w:rPr>
              <w:t>g</w:t>
            </w:r>
            <w:r w:rsidRPr="00750A5B">
              <w:rPr>
                <w:szCs w:val="18"/>
              </w:rPr>
              <w:t xml:space="preserve">uidance for </w:t>
            </w:r>
            <w:r w:rsidR="00384F33">
              <w:rPr>
                <w:szCs w:val="18"/>
              </w:rPr>
              <w:t>l</w:t>
            </w:r>
            <w:r w:rsidRPr="00750A5B">
              <w:rPr>
                <w:szCs w:val="18"/>
              </w:rPr>
              <w:t xml:space="preserve">ine 19. </w:t>
            </w:r>
          </w:p>
          <w:p w14:paraId="2A70FEE6" w14:textId="34A137B8" w:rsidR="00372543" w:rsidRPr="00742485" w:rsidRDefault="00372543" w:rsidP="008E31E0">
            <w:pPr>
              <w:spacing w:line="240" w:lineRule="auto"/>
              <w:rPr>
                <w:rFonts w:cs="Arial"/>
              </w:rPr>
            </w:pPr>
            <w:r w:rsidRPr="005E603F">
              <w:rPr>
                <w:rFonts w:cs="Arial"/>
              </w:rPr>
              <w:t>This is expected to be estimated on a consistent basis to the Signing Actuary but does not have to be the same amount.</w:t>
            </w:r>
            <w:r>
              <w:rPr>
                <w:rFonts w:cs="Arial"/>
              </w:rPr>
              <w:t xml:space="preserve"> The amount is expected to be negative.</w:t>
            </w:r>
          </w:p>
        </w:tc>
      </w:tr>
    </w:tbl>
    <w:p w14:paraId="31B9B084" w14:textId="77777777" w:rsidR="008712D8" w:rsidRDefault="008712D8" w:rsidP="00F3312B">
      <w:pPr>
        <w:pStyle w:val="Heading2"/>
        <w:numPr>
          <w:ilvl w:val="0"/>
          <w:numId w:val="0"/>
        </w:numPr>
      </w:pPr>
      <w:bookmarkStart w:id="29" w:name="_Toc201062532"/>
      <w:bookmarkEnd w:id="28"/>
      <w:bookmarkEnd w:id="29"/>
    </w:p>
    <w:p w14:paraId="5108FD5A" w14:textId="77777777" w:rsidR="00664010" w:rsidRDefault="00664010" w:rsidP="00664010">
      <w:pPr>
        <w:pStyle w:val="Heading2"/>
        <w:numPr>
          <w:ilvl w:val="0"/>
          <w:numId w:val="0"/>
        </w:numPr>
      </w:pPr>
    </w:p>
    <w:p w14:paraId="6BCBC3B2" w14:textId="77777777" w:rsidR="00664010" w:rsidRDefault="00664010" w:rsidP="00664010">
      <w:pPr>
        <w:pStyle w:val="Bullet"/>
        <w:numPr>
          <w:ilvl w:val="0"/>
          <w:numId w:val="0"/>
        </w:numPr>
      </w:pPr>
    </w:p>
    <w:p w14:paraId="507A6A88" w14:textId="77777777" w:rsidR="00664010" w:rsidRDefault="00664010" w:rsidP="00664010">
      <w:pPr>
        <w:pStyle w:val="Bullet"/>
        <w:numPr>
          <w:ilvl w:val="0"/>
          <w:numId w:val="0"/>
        </w:numPr>
      </w:pPr>
    </w:p>
    <w:p w14:paraId="5E12A2C0" w14:textId="77777777" w:rsidR="00664010" w:rsidRDefault="00664010" w:rsidP="00664010">
      <w:pPr>
        <w:pStyle w:val="Bullet"/>
        <w:numPr>
          <w:ilvl w:val="0"/>
          <w:numId w:val="0"/>
        </w:numPr>
      </w:pPr>
    </w:p>
    <w:p w14:paraId="2AD092D6" w14:textId="77777777" w:rsidR="00664010" w:rsidRDefault="00664010" w:rsidP="00664010">
      <w:pPr>
        <w:pStyle w:val="Bullet"/>
        <w:numPr>
          <w:ilvl w:val="0"/>
          <w:numId w:val="0"/>
        </w:numPr>
      </w:pPr>
    </w:p>
    <w:p w14:paraId="7AAFCB93" w14:textId="77777777" w:rsidR="00664010" w:rsidRDefault="00664010" w:rsidP="00664010">
      <w:pPr>
        <w:pStyle w:val="Bullet"/>
        <w:numPr>
          <w:ilvl w:val="0"/>
          <w:numId w:val="0"/>
        </w:numPr>
      </w:pPr>
    </w:p>
    <w:p w14:paraId="3BAB3CE8" w14:textId="77777777" w:rsidR="00664010" w:rsidRDefault="00664010" w:rsidP="00664010">
      <w:pPr>
        <w:pStyle w:val="Bullet"/>
        <w:numPr>
          <w:ilvl w:val="0"/>
          <w:numId w:val="0"/>
        </w:numPr>
      </w:pPr>
    </w:p>
    <w:p w14:paraId="5EBBC0AB" w14:textId="77777777" w:rsidR="00664010" w:rsidRPr="00664010" w:rsidRDefault="00664010" w:rsidP="001B36ED">
      <w:pPr>
        <w:pStyle w:val="Bullet"/>
        <w:numPr>
          <w:ilvl w:val="0"/>
          <w:numId w:val="0"/>
        </w:numPr>
      </w:pPr>
    </w:p>
    <w:p w14:paraId="62B00B73" w14:textId="0B64B67E" w:rsidR="003E7EFF" w:rsidRPr="00246E9A" w:rsidRDefault="003144F1" w:rsidP="003E7EFF">
      <w:pPr>
        <w:pStyle w:val="Heading2"/>
      </w:pPr>
      <w:bookmarkStart w:id="30" w:name="_Toc225844971"/>
      <w:r>
        <w:lastRenderedPageBreak/>
        <w:t xml:space="preserve">Impact of reinsurance </w:t>
      </w:r>
      <w:r w:rsidR="003E7EFF">
        <w:t>contract boundary change</w:t>
      </w:r>
      <w:bookmarkEnd w:id="30"/>
    </w:p>
    <w:p w14:paraId="672A53DB" w14:textId="227E0A82" w:rsidR="007F05A3" w:rsidRDefault="004662E2" w:rsidP="007F05A3">
      <w:pPr>
        <w:pStyle w:val="Bullet"/>
        <w:numPr>
          <w:ilvl w:val="0"/>
          <w:numId w:val="0"/>
        </w:numPr>
      </w:pPr>
      <w:r>
        <w:t xml:space="preserve">Line </w:t>
      </w:r>
      <w:r w:rsidR="002B5CDE">
        <w:t xml:space="preserve">21 must be completed </w:t>
      </w:r>
      <w:r w:rsidR="008712D8" w:rsidRPr="006E57CC">
        <w:t>in accordance with the instructions below</w:t>
      </w:r>
      <w:r w:rsidR="008712D8">
        <w:t xml:space="preserve"> </w:t>
      </w:r>
      <w:r w:rsidR="002B5CDE">
        <w:t xml:space="preserve">for quarterly </w:t>
      </w:r>
      <w:r w:rsidR="009728D9">
        <w:t>and annual submissions.</w:t>
      </w:r>
    </w:p>
    <w:p w14:paraId="6460E5EF" w14:textId="77777777" w:rsidR="007F05A3" w:rsidRPr="006E57CC" w:rsidRDefault="007F05A3" w:rsidP="00F3312B">
      <w:pPr>
        <w:pStyle w:val="Bullet"/>
        <w:numPr>
          <w:ilvl w:val="0"/>
          <w:numId w:val="0"/>
        </w:numPr>
      </w:pPr>
    </w:p>
    <w:tbl>
      <w:tblPr>
        <w:tblStyle w:val="GridTable1Light"/>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701"/>
        <w:gridCol w:w="1701"/>
        <w:gridCol w:w="5811"/>
      </w:tblGrid>
      <w:tr w:rsidR="0064630E" w:rsidRPr="00152080" w14:paraId="3A615795" w14:textId="77777777" w:rsidTr="00BB2335">
        <w:trPr>
          <w:cantSplit/>
          <w:trHeight w:val="307"/>
        </w:trPr>
        <w:tc>
          <w:tcPr>
            <w:tcW w:w="1701" w:type="dxa"/>
            <w:shd w:val="clear" w:color="auto" w:fill="F2F2F2" w:themeFill="background1" w:themeFillShade="F2"/>
          </w:tcPr>
          <w:p w14:paraId="5E98A99E" w14:textId="3291A981" w:rsidR="0064630E" w:rsidRDefault="0064630E" w:rsidP="008E31E0">
            <w:pPr>
              <w:tabs>
                <w:tab w:val="left" w:pos="687"/>
                <w:tab w:val="left" w:pos="689"/>
              </w:tabs>
              <w:spacing w:beforeLines="40" w:before="96" w:afterLines="40" w:after="96" w:line="240" w:lineRule="auto"/>
              <w:ind w:right="174"/>
              <w:rPr>
                <w:szCs w:val="18"/>
              </w:rPr>
            </w:pPr>
            <w:r w:rsidRPr="005136C1">
              <w:rPr>
                <w:rFonts w:eastAsia="Arial" w:cs="Arial"/>
                <w:b/>
                <w:bCs/>
                <w:szCs w:val="18"/>
                <w:lang w:eastAsia="en-US"/>
              </w:rPr>
              <w:t xml:space="preserve">Line </w:t>
            </w:r>
            <w:r>
              <w:rPr>
                <w:rFonts w:eastAsia="Arial" w:cs="Arial"/>
                <w:b/>
                <w:bCs/>
                <w:szCs w:val="18"/>
                <w:lang w:eastAsia="en-US"/>
              </w:rPr>
              <w:t>number</w:t>
            </w:r>
          </w:p>
        </w:tc>
        <w:tc>
          <w:tcPr>
            <w:tcW w:w="1701" w:type="dxa"/>
            <w:shd w:val="clear" w:color="auto" w:fill="F2F2F2" w:themeFill="background1" w:themeFillShade="F2"/>
          </w:tcPr>
          <w:p w14:paraId="21AFEDBD" w14:textId="0E5CB9C5" w:rsidR="0064630E" w:rsidRPr="009D352C" w:rsidRDefault="0064630E" w:rsidP="008E31E0">
            <w:pPr>
              <w:tabs>
                <w:tab w:val="left" w:pos="687"/>
                <w:tab w:val="left" w:pos="689"/>
              </w:tabs>
              <w:spacing w:beforeLines="40" w:before="96" w:afterLines="40" w:after="96" w:line="240" w:lineRule="auto"/>
              <w:ind w:right="174"/>
              <w:rPr>
                <w:szCs w:val="18"/>
              </w:rPr>
            </w:pPr>
            <w:r>
              <w:rPr>
                <w:rFonts w:eastAsia="Arial" w:cs="Arial"/>
                <w:b/>
                <w:bCs/>
                <w:szCs w:val="18"/>
                <w:lang w:eastAsia="en-US"/>
              </w:rPr>
              <w:t>Line</w:t>
            </w:r>
            <w:r w:rsidRPr="00625DCD">
              <w:rPr>
                <w:rFonts w:eastAsia="Arial" w:cs="Arial"/>
                <w:b/>
                <w:bCs/>
                <w:szCs w:val="18"/>
                <w:lang w:eastAsia="en-US"/>
              </w:rPr>
              <w:t xml:space="preserve"> description</w:t>
            </w:r>
          </w:p>
        </w:tc>
        <w:tc>
          <w:tcPr>
            <w:tcW w:w="5811" w:type="dxa"/>
            <w:shd w:val="clear" w:color="auto" w:fill="F2F2F2" w:themeFill="background1" w:themeFillShade="F2"/>
          </w:tcPr>
          <w:p w14:paraId="75402F3E" w14:textId="164F6CC5" w:rsidR="0064630E" w:rsidRDefault="0064630E" w:rsidP="008E31E0">
            <w:pPr>
              <w:spacing w:before="120" w:line="240" w:lineRule="auto"/>
              <w:rPr>
                <w:rFonts w:cs="Arial"/>
              </w:rPr>
            </w:pPr>
            <w:r>
              <w:rPr>
                <w:rFonts w:eastAsia="Arial" w:cs="Arial"/>
                <w:b/>
                <w:bCs/>
                <w:szCs w:val="18"/>
                <w:lang w:eastAsia="en-US"/>
              </w:rPr>
              <w:t>Instruction</w:t>
            </w:r>
          </w:p>
        </w:tc>
      </w:tr>
      <w:tr w:rsidR="0064630E" w:rsidRPr="00152080" w14:paraId="15A01958" w14:textId="77777777" w:rsidTr="00BB2335">
        <w:trPr>
          <w:cantSplit/>
          <w:trHeight w:val="307"/>
        </w:trPr>
        <w:tc>
          <w:tcPr>
            <w:tcW w:w="1701" w:type="dxa"/>
          </w:tcPr>
          <w:p w14:paraId="2CFA2CDE" w14:textId="77777777" w:rsidR="0064630E" w:rsidRDefault="0064630E" w:rsidP="008E31E0">
            <w:pPr>
              <w:tabs>
                <w:tab w:val="left" w:pos="687"/>
                <w:tab w:val="left" w:pos="689"/>
              </w:tabs>
              <w:spacing w:beforeLines="40" w:before="96" w:afterLines="40" w:after="96" w:line="240" w:lineRule="auto"/>
              <w:ind w:right="174"/>
              <w:rPr>
                <w:szCs w:val="18"/>
              </w:rPr>
            </w:pPr>
            <w:r>
              <w:rPr>
                <w:szCs w:val="18"/>
              </w:rPr>
              <w:t>Line 21</w:t>
            </w:r>
          </w:p>
        </w:tc>
        <w:tc>
          <w:tcPr>
            <w:tcW w:w="1701" w:type="dxa"/>
          </w:tcPr>
          <w:p w14:paraId="14981C70" w14:textId="5410E590" w:rsidR="0064630E" w:rsidRPr="009D352C" w:rsidRDefault="0064630E" w:rsidP="008E31E0">
            <w:pPr>
              <w:tabs>
                <w:tab w:val="left" w:pos="687"/>
                <w:tab w:val="left" w:pos="689"/>
              </w:tabs>
              <w:spacing w:beforeLines="40" w:before="96" w:afterLines="40" w:after="96" w:line="240" w:lineRule="auto"/>
              <w:ind w:right="174"/>
              <w:rPr>
                <w:szCs w:val="18"/>
              </w:rPr>
            </w:pPr>
            <w:r w:rsidRPr="009D352C">
              <w:rPr>
                <w:szCs w:val="18"/>
              </w:rPr>
              <w:t xml:space="preserve">Impact of </w:t>
            </w:r>
            <w:r w:rsidR="00B232FF">
              <w:rPr>
                <w:szCs w:val="18"/>
              </w:rPr>
              <w:t>R</w:t>
            </w:r>
            <w:r w:rsidRPr="009D352C">
              <w:rPr>
                <w:szCs w:val="18"/>
              </w:rPr>
              <w:t xml:space="preserve">einsurance </w:t>
            </w:r>
            <w:r w:rsidR="00B232FF">
              <w:rPr>
                <w:szCs w:val="18"/>
              </w:rPr>
              <w:t>C</w:t>
            </w:r>
            <w:r w:rsidRPr="009D352C">
              <w:rPr>
                <w:szCs w:val="18"/>
              </w:rPr>
              <w:t xml:space="preserve">ontract </w:t>
            </w:r>
            <w:r w:rsidR="00B232FF">
              <w:rPr>
                <w:szCs w:val="18"/>
              </w:rPr>
              <w:t>B</w:t>
            </w:r>
            <w:r w:rsidRPr="009D352C">
              <w:rPr>
                <w:szCs w:val="18"/>
              </w:rPr>
              <w:t xml:space="preserve">oundary </w:t>
            </w:r>
            <w:r w:rsidR="00B232FF">
              <w:rPr>
                <w:szCs w:val="18"/>
              </w:rPr>
              <w:t>T</w:t>
            </w:r>
            <w:r w:rsidRPr="009D352C">
              <w:rPr>
                <w:szCs w:val="18"/>
              </w:rPr>
              <w:t>reatment</w:t>
            </w:r>
          </w:p>
        </w:tc>
        <w:tc>
          <w:tcPr>
            <w:tcW w:w="5811" w:type="dxa"/>
          </w:tcPr>
          <w:p w14:paraId="3439632D" w14:textId="3D91E841" w:rsidR="0064630E" w:rsidRDefault="00D10A75" w:rsidP="008E31E0">
            <w:pPr>
              <w:spacing w:before="120" w:line="240" w:lineRule="auto"/>
              <w:rPr>
                <w:rFonts w:cs="Arial"/>
              </w:rPr>
            </w:pPr>
            <w:r w:rsidRPr="006E57CC">
              <w:rPr>
                <w:szCs w:val="18"/>
              </w:rPr>
              <w:t>Information on the impact of the change to the treatment of reinsurance contract boundaries is required by reporting year of account</w:t>
            </w:r>
            <w:r w:rsidR="00BC7AF8" w:rsidRPr="006E57CC">
              <w:rPr>
                <w:szCs w:val="18"/>
              </w:rPr>
              <w:t xml:space="preserve"> and in total</w:t>
            </w:r>
            <w:r w:rsidRPr="006E57CC">
              <w:rPr>
                <w:szCs w:val="18"/>
              </w:rPr>
              <w:t xml:space="preserve"> on line </w:t>
            </w:r>
            <w:r w:rsidR="00877570">
              <w:rPr>
                <w:szCs w:val="18"/>
              </w:rPr>
              <w:t>21</w:t>
            </w:r>
            <w:r w:rsidRPr="006E57CC">
              <w:rPr>
                <w:szCs w:val="18"/>
              </w:rPr>
              <w:t xml:space="preserve">. This information will be used centrally by Lloyd’s to neutralise the effect of the change to reinsurance contract boundaries in November 2019. </w:t>
            </w:r>
            <w:r w:rsidR="0064630E" w:rsidRPr="00C055A3">
              <w:rPr>
                <w:rFonts w:cs="Arial"/>
              </w:rPr>
              <w:t>This must be provided by reporting year of account and shown as a positive figure (i.e. the value of the increase to the technical provisions resulting from the change).</w:t>
            </w:r>
          </w:p>
          <w:p w14:paraId="2D843A19" w14:textId="3E5153E2" w:rsidR="0064630E" w:rsidRDefault="0064630E" w:rsidP="008E31E0">
            <w:pPr>
              <w:spacing w:line="240" w:lineRule="auto"/>
              <w:rPr>
                <w:rFonts w:cs="Arial"/>
              </w:rPr>
            </w:pPr>
            <w:r w:rsidRPr="0056373F">
              <w:rPr>
                <w:rFonts w:cs="Arial"/>
              </w:rPr>
              <w:t>This impact should be the figure that would be calculated in the relevant YOA row of LCR Form 571 Q</w:t>
            </w:r>
            <w:r>
              <w:rPr>
                <w:rFonts w:cs="Arial"/>
              </w:rPr>
              <w:t xml:space="preserve">uestion </w:t>
            </w:r>
            <w:r w:rsidRPr="0056373F">
              <w:rPr>
                <w:rFonts w:cs="Arial"/>
              </w:rPr>
              <w:t xml:space="preserve">1 column D if the syndicate </w:t>
            </w:r>
            <w:r w:rsidR="008848F1">
              <w:rPr>
                <w:rFonts w:cs="Arial"/>
              </w:rPr>
              <w:t xml:space="preserve">were </w:t>
            </w:r>
            <w:r w:rsidRPr="0056373F">
              <w:rPr>
                <w:rFonts w:cs="Arial"/>
              </w:rPr>
              <w:t>to submit a</w:t>
            </w:r>
            <w:r w:rsidR="006F53AC">
              <w:rPr>
                <w:rFonts w:cs="Arial"/>
              </w:rPr>
              <w:t>n</w:t>
            </w:r>
            <w:r w:rsidR="008E31E0">
              <w:rPr>
                <w:rFonts w:cs="Arial"/>
              </w:rPr>
              <w:t xml:space="preserve"> </w:t>
            </w:r>
            <w:r w:rsidRPr="0056373F">
              <w:rPr>
                <w:rFonts w:cs="Arial"/>
              </w:rPr>
              <w:t>LCR prepared as at the same year-end as the</w:t>
            </w:r>
            <w:r w:rsidR="0066700D">
              <w:rPr>
                <w:rFonts w:cs="Arial"/>
              </w:rPr>
              <w:t xml:space="preserve"> </w:t>
            </w:r>
            <w:r w:rsidR="001C374D">
              <w:rPr>
                <w:rFonts w:cs="Arial"/>
              </w:rPr>
              <w:t>annual / quarterly</w:t>
            </w:r>
            <w:r w:rsidRPr="0056373F">
              <w:rPr>
                <w:rFonts w:cs="Arial"/>
              </w:rPr>
              <w:t xml:space="preserve"> submission.</w:t>
            </w:r>
          </w:p>
          <w:p w14:paraId="189E8D51" w14:textId="7849D69D" w:rsidR="005C2B5D" w:rsidRPr="00152080" w:rsidRDefault="005C2B5D" w:rsidP="008E31E0">
            <w:pPr>
              <w:spacing w:line="240" w:lineRule="auto"/>
              <w:rPr>
                <w:rFonts w:cs="Arial"/>
              </w:rPr>
            </w:pPr>
            <w:r>
              <w:rPr>
                <w:rFonts w:cs="Arial"/>
              </w:rPr>
              <w:t>Furth</w:t>
            </w:r>
            <w:r w:rsidR="006C7502">
              <w:rPr>
                <w:rFonts w:cs="Arial"/>
              </w:rPr>
              <w:t>er g</w:t>
            </w:r>
            <w:r>
              <w:rPr>
                <w:rFonts w:cs="Arial"/>
              </w:rPr>
              <w:t>uidanc</w:t>
            </w:r>
            <w:r w:rsidR="00EF7C6C">
              <w:rPr>
                <w:rFonts w:cs="Arial"/>
              </w:rPr>
              <w:t>e on the calculation</w:t>
            </w:r>
            <w:r>
              <w:rPr>
                <w:rFonts w:cs="Arial"/>
              </w:rPr>
              <w:t xml:space="preserve"> </w:t>
            </w:r>
            <w:r w:rsidR="00386A43">
              <w:rPr>
                <w:rFonts w:cs="Arial"/>
              </w:rPr>
              <w:t>is included in the A</w:t>
            </w:r>
            <w:r w:rsidR="00F861DF">
              <w:rPr>
                <w:rFonts w:cs="Arial"/>
              </w:rPr>
              <w:t>ppendix t</w:t>
            </w:r>
            <w:r w:rsidR="00201C81">
              <w:rPr>
                <w:rFonts w:cs="Arial"/>
              </w:rPr>
              <w:t>o</w:t>
            </w:r>
            <w:r w:rsidR="00F861DF">
              <w:rPr>
                <w:rFonts w:cs="Arial"/>
              </w:rPr>
              <w:t xml:space="preserve"> these instructions.</w:t>
            </w:r>
          </w:p>
        </w:tc>
      </w:tr>
    </w:tbl>
    <w:p w14:paraId="15EA1312" w14:textId="3BEE98B9" w:rsidR="005D0CE2" w:rsidRDefault="005413A4" w:rsidP="005D0CE2">
      <w:pPr>
        <w:pStyle w:val="Heading2"/>
      </w:pPr>
      <w:bookmarkStart w:id="31" w:name="_Toc225844972"/>
      <w:r>
        <w:t>O</w:t>
      </w:r>
      <w:r w:rsidR="003E18E7">
        <w:t>ther adjustments</w:t>
      </w:r>
      <w:bookmarkEnd w:id="31"/>
    </w:p>
    <w:p w14:paraId="425678C4" w14:textId="43BB478F" w:rsidR="00D63D59" w:rsidRPr="00A8023A" w:rsidRDefault="003E18E7" w:rsidP="00A10322">
      <w:pPr>
        <w:pStyle w:val="Bullet"/>
      </w:pPr>
      <w:r w:rsidRPr="00A8023A">
        <w:t xml:space="preserve">This template provides an analysis of any other adjustments </w:t>
      </w:r>
      <w:r w:rsidR="00783E90" w:rsidRPr="00A8023A">
        <w:t xml:space="preserve">in arriving at the Solvency II members’ balance </w:t>
      </w:r>
      <w:r w:rsidR="00E350C9" w:rsidRPr="00A8023A">
        <w:t>at line 18</w:t>
      </w:r>
      <w:r w:rsidR="004A2CA5" w:rsidRPr="00A8023A">
        <w:t xml:space="preserve"> of the </w:t>
      </w:r>
      <w:r w:rsidR="004A2CA5" w:rsidRPr="00A55B8C">
        <w:t>Solvency Balance Sheet Reconciliation</w:t>
      </w:r>
      <w:r w:rsidR="00E350C9" w:rsidRPr="00A8023A">
        <w:t>.</w:t>
      </w:r>
      <w:r w:rsidR="00F51386">
        <w:t xml:space="preserve"> </w:t>
      </w:r>
      <w:r w:rsidR="004B5DE7" w:rsidRPr="00A8023A">
        <w:t xml:space="preserve">Line 16 of that template will be </w:t>
      </w:r>
      <w:r w:rsidR="00403665" w:rsidRPr="00A8023A">
        <w:t>auto</w:t>
      </w:r>
      <w:r w:rsidR="00403665">
        <w:t xml:space="preserve"> populated</w:t>
      </w:r>
      <w:r w:rsidR="004B5DE7" w:rsidRPr="00A8023A">
        <w:t xml:space="preserve"> from the </w:t>
      </w:r>
      <w:r w:rsidR="002844A2" w:rsidRPr="00A8023A">
        <w:t>amounts</w:t>
      </w:r>
      <w:r w:rsidR="004B5DE7" w:rsidRPr="00A8023A">
        <w:t xml:space="preserve"> input </w:t>
      </w:r>
      <w:r w:rsidR="00057787" w:rsidRPr="00A8023A">
        <w:t>here</w:t>
      </w:r>
      <w:r w:rsidR="004B5DE7" w:rsidRPr="00A8023A">
        <w:t>.</w:t>
      </w:r>
    </w:p>
    <w:p w14:paraId="51322FB1" w14:textId="26FEC7DD" w:rsidR="00352A56" w:rsidRPr="00A8023A" w:rsidRDefault="00D63D59" w:rsidP="00A10322">
      <w:pPr>
        <w:pStyle w:val="Bullet"/>
      </w:pPr>
      <w:r w:rsidRPr="00A8023A">
        <w:t>This template must</w:t>
      </w:r>
      <w:r w:rsidR="005D7921" w:rsidRPr="00A8023A">
        <w:t xml:space="preserve"> </w:t>
      </w:r>
      <w:r w:rsidR="00361FEA" w:rsidRPr="00A8023A">
        <w:t xml:space="preserve">itemise any </w:t>
      </w:r>
      <w:r w:rsidR="00923B2B" w:rsidRPr="00A8023A">
        <w:t>adjustment</w:t>
      </w:r>
      <w:r w:rsidR="00361FEA" w:rsidRPr="00A8023A">
        <w:t xml:space="preserve">s being made that do not fall into any other analysis line of the </w:t>
      </w:r>
      <w:r w:rsidR="00F8043D" w:rsidRPr="006C7502">
        <w:t xml:space="preserve">Solvency </w:t>
      </w:r>
      <w:r w:rsidR="00361FEA" w:rsidRPr="006C7502">
        <w:t xml:space="preserve">Balance Sheet Reconciliation </w:t>
      </w:r>
      <w:r w:rsidR="0081123B" w:rsidRPr="00A8023A">
        <w:t>and that exceed a threshold of</w:t>
      </w:r>
      <w:r w:rsidR="00B04AE8">
        <w:t xml:space="preserve"> </w:t>
      </w:r>
      <w:r w:rsidR="001C5A5C">
        <w:t>£100,000</w:t>
      </w:r>
      <w:r w:rsidR="00F712AB" w:rsidRPr="00A8023A">
        <w:t xml:space="preserve"> for any reporting year of account</w:t>
      </w:r>
      <w:r w:rsidR="00361FEA" w:rsidRPr="00A8023A">
        <w:t>.</w:t>
      </w:r>
      <w:r w:rsidR="00F51386">
        <w:t xml:space="preserve"> </w:t>
      </w:r>
      <w:r w:rsidR="006918B4" w:rsidRPr="00A8023A">
        <w:t xml:space="preserve">The </w:t>
      </w:r>
      <w:r w:rsidR="00D00E77" w:rsidRPr="00A8023A">
        <w:t xml:space="preserve">amount of each adjustment must be entered </w:t>
      </w:r>
      <w:r w:rsidR="00873983" w:rsidRPr="00A8023A">
        <w:t>in the column for the reporting year of account to which it relates, with a brief narrative description</w:t>
      </w:r>
      <w:r w:rsidR="000D667B" w:rsidRPr="00A8023A">
        <w:t xml:space="preserve"> provided in the </w:t>
      </w:r>
      <w:r w:rsidR="00B36935">
        <w:t>‘</w:t>
      </w:r>
      <w:r w:rsidR="000D667B" w:rsidRPr="00A8023A">
        <w:t>Description</w:t>
      </w:r>
      <w:r w:rsidR="00B36935">
        <w:t>’</w:t>
      </w:r>
      <w:r w:rsidR="000D667B" w:rsidRPr="00A8023A">
        <w:t xml:space="preserve"> column</w:t>
      </w:r>
      <w:r w:rsidR="00873983" w:rsidRPr="00A8023A">
        <w:t>.</w:t>
      </w:r>
      <w:r w:rsidR="006918B4" w:rsidRPr="00A8023A">
        <w:t xml:space="preserve"> </w:t>
      </w:r>
    </w:p>
    <w:p w14:paraId="41F31088" w14:textId="7AB61B84" w:rsidR="00957FF7" w:rsidRDefault="00352A56" w:rsidP="00A10322">
      <w:pPr>
        <w:pStyle w:val="Bullet"/>
      </w:pPr>
      <w:r w:rsidRPr="00A8023A">
        <w:t xml:space="preserve">Adjustments arising </w:t>
      </w:r>
      <w:r w:rsidR="00380E33">
        <w:t xml:space="preserve">due to </w:t>
      </w:r>
      <w:r w:rsidR="001858B3">
        <w:t xml:space="preserve">alignment to the SAO (e.g </w:t>
      </w:r>
      <w:r w:rsidR="002251F1" w:rsidRPr="00A8023A">
        <w:t>restriction</w:t>
      </w:r>
      <w:r w:rsidR="00380E33">
        <w:t>s</w:t>
      </w:r>
      <w:r w:rsidR="002251F1" w:rsidRPr="00A8023A">
        <w:t xml:space="preserve"> on </w:t>
      </w:r>
      <w:r w:rsidR="006D2D6D" w:rsidRPr="00A8023A">
        <w:t>elimination of prudence within earned claims provisions and RI bad debt or from res</w:t>
      </w:r>
      <w:r w:rsidR="00A664A4" w:rsidRPr="00A8023A">
        <w:t>tri</w:t>
      </w:r>
      <w:r w:rsidR="006D2D6D" w:rsidRPr="00A8023A">
        <w:t>ction</w:t>
      </w:r>
      <w:r w:rsidR="00C5726E">
        <w:t>s</w:t>
      </w:r>
      <w:r w:rsidR="006D2D6D" w:rsidRPr="00A8023A">
        <w:t xml:space="preserve"> of profit in unearned premium</w:t>
      </w:r>
      <w:r w:rsidR="001858B3">
        <w:t>)</w:t>
      </w:r>
      <w:r w:rsidR="006D2D6D" w:rsidRPr="00A8023A">
        <w:t xml:space="preserve"> </w:t>
      </w:r>
      <w:r w:rsidR="00A664A4" w:rsidRPr="00A8023A">
        <w:t xml:space="preserve">must </w:t>
      </w:r>
      <w:r w:rsidR="00CF722D">
        <w:t>always</w:t>
      </w:r>
      <w:r w:rsidR="00A664A4" w:rsidRPr="00A8023A">
        <w:t xml:space="preserve"> be itemised</w:t>
      </w:r>
      <w:r w:rsidR="00CF722D">
        <w:t xml:space="preserve"> regardless of the threshold </w:t>
      </w:r>
      <w:r w:rsidR="00DF722E">
        <w:t>above</w:t>
      </w:r>
      <w:r w:rsidR="00A664A4" w:rsidRPr="00A8023A">
        <w:t>.</w:t>
      </w:r>
      <w:r w:rsidR="00F51386">
        <w:t xml:space="preserve"> </w:t>
      </w:r>
    </w:p>
    <w:p w14:paraId="57523A13" w14:textId="245CFE23" w:rsidR="00957FF7" w:rsidRDefault="00872A33" w:rsidP="00A10322">
      <w:pPr>
        <w:pStyle w:val="Bullet"/>
      </w:pPr>
      <w:r>
        <w:t xml:space="preserve">The </w:t>
      </w:r>
      <w:r w:rsidRPr="00A8023A">
        <w:t>narrative description should</w:t>
      </w:r>
      <w:r w:rsidR="00DF6290">
        <w:t>,</w:t>
      </w:r>
      <w:r w:rsidRPr="00A8023A">
        <w:t xml:space="preserve"> in each case</w:t>
      </w:r>
      <w:r w:rsidR="00DF6290">
        <w:t>,</w:t>
      </w:r>
      <w:r w:rsidRPr="00A8023A">
        <w:t xml:space="preserve"> be sufficient to explain the nature of the adjustment</w:t>
      </w:r>
      <w:r>
        <w:t>.</w:t>
      </w:r>
      <w:r w:rsidR="00515661">
        <w:t xml:space="preserve"> This </w:t>
      </w:r>
      <w:r w:rsidR="00BD7F3D">
        <w:t xml:space="preserve">must </w:t>
      </w:r>
      <w:r w:rsidR="00515661">
        <w:t xml:space="preserve">be blank </w:t>
      </w:r>
      <w:r w:rsidR="002A4B44">
        <w:t xml:space="preserve">if there is no </w:t>
      </w:r>
      <w:r w:rsidR="00944A13">
        <w:t>other adjustment.</w:t>
      </w:r>
    </w:p>
    <w:p w14:paraId="40A9E18A" w14:textId="7B110454" w:rsidR="009672E8" w:rsidRDefault="00325CF9" w:rsidP="00A10322">
      <w:pPr>
        <w:pStyle w:val="Bullet"/>
      </w:pPr>
      <w:r w:rsidRPr="00A8023A">
        <w:t>Adjustments of the same nature for more than one reporting period may be entered on the same line</w:t>
      </w:r>
      <w:r w:rsidR="008E597C" w:rsidRPr="00A8023A">
        <w:t xml:space="preserve"> provided the narrative description is sufficient.</w:t>
      </w:r>
    </w:p>
    <w:p w14:paraId="6B9DDD4C" w14:textId="24D6BDD0" w:rsidR="00403665" w:rsidRPr="00A8023A" w:rsidRDefault="00403665" w:rsidP="00A10322">
      <w:pPr>
        <w:pStyle w:val="Bullet"/>
      </w:pPr>
      <w:r>
        <w:t xml:space="preserve">Any </w:t>
      </w:r>
      <w:r w:rsidR="00463795">
        <w:t>balance of adjustments not itemise</w:t>
      </w:r>
      <w:r w:rsidR="00E778AD">
        <w:t>d</w:t>
      </w:r>
      <w:r w:rsidR="00463795">
        <w:t xml:space="preserve"> must be presented in a separate line, </w:t>
      </w:r>
      <w:r w:rsidR="00E778AD">
        <w:t>by reporting year of account, with the narrative ‘Other’.</w:t>
      </w:r>
    </w:p>
    <w:p w14:paraId="02859806" w14:textId="61590DFC" w:rsidR="00AB07DD" w:rsidRPr="008343A2" w:rsidRDefault="00AB07DD" w:rsidP="00AB07DD">
      <w:pPr>
        <w:pStyle w:val="Heading2"/>
      </w:pPr>
      <w:bookmarkStart w:id="32" w:name="_Toc225844973"/>
      <w:r w:rsidRPr="008343A2">
        <w:t>Comments</w:t>
      </w:r>
      <w:bookmarkEnd w:id="32"/>
    </w:p>
    <w:p w14:paraId="5A25CF8E" w14:textId="374A8FF7" w:rsidR="00AB07DD" w:rsidRPr="008343A2" w:rsidRDefault="00AB07DD" w:rsidP="00A10322">
      <w:pPr>
        <w:pStyle w:val="Bullet"/>
      </w:pPr>
      <w:r w:rsidRPr="008343A2">
        <w:t>This template is for the provision of other information necessary to assist Lloyd’s in processing the information provided</w:t>
      </w:r>
      <w:r w:rsidR="001C2BBD">
        <w:t xml:space="preserve">, </w:t>
      </w:r>
      <w:r w:rsidRPr="008343A2">
        <w:t>where the managing agent considers that additional information is necessary for understanding or to minimise the need for Lloyd’s to raise subsequent queries.</w:t>
      </w:r>
      <w:r w:rsidR="00F51386">
        <w:t xml:space="preserve"> </w:t>
      </w:r>
      <w:r w:rsidRPr="008343A2">
        <w:t>The template is for free form narrative input.</w:t>
      </w:r>
    </w:p>
    <w:p w14:paraId="77986F53" w14:textId="77777777" w:rsidR="00AB07DD" w:rsidRPr="008343A2" w:rsidRDefault="00AB07DD" w:rsidP="00A10322">
      <w:pPr>
        <w:pStyle w:val="Bullet"/>
      </w:pPr>
      <w:r w:rsidRPr="008343A2">
        <w:t>All templates should be completed in accordance with the instructions and use of this template is not a substitute for compliance with the instructions for other templates.</w:t>
      </w:r>
    </w:p>
    <w:p w14:paraId="2DF3B3D9" w14:textId="77777777" w:rsidR="00AB07DD" w:rsidRDefault="00AB07DD" w:rsidP="00A10322">
      <w:pPr>
        <w:pStyle w:val="Bullet"/>
      </w:pPr>
      <w:r w:rsidRPr="008343A2">
        <w:t>Without limiting the information that managing agents may provide on this template, the following information must be provided where relevant and not immaterial:</w:t>
      </w:r>
    </w:p>
    <w:p w14:paraId="7947467F" w14:textId="3CBDB9C4" w:rsidR="00AB07DD" w:rsidRDefault="00AB07DD" w:rsidP="00A10322">
      <w:pPr>
        <w:pStyle w:val="Bullet"/>
        <w:numPr>
          <w:ilvl w:val="0"/>
          <w:numId w:val="33"/>
        </w:numPr>
      </w:pPr>
      <w:r w:rsidRPr="00F504EF">
        <w:lastRenderedPageBreak/>
        <w:t xml:space="preserve">Explanation of third party RITC where present, identifying the </w:t>
      </w:r>
      <w:r w:rsidR="008B2827">
        <w:t xml:space="preserve">syndicate </w:t>
      </w:r>
      <w:r w:rsidRPr="00F504EF">
        <w:t>number and year of account of the syndicate that is receiving the RITC, or from which the RITC is being received.</w:t>
      </w:r>
    </w:p>
    <w:p w14:paraId="3E687EF5" w14:textId="77777777" w:rsidR="00AB07DD" w:rsidRDefault="00AB07DD" w:rsidP="00A10322">
      <w:pPr>
        <w:pStyle w:val="Bullet"/>
        <w:numPr>
          <w:ilvl w:val="0"/>
          <w:numId w:val="33"/>
        </w:numPr>
      </w:pPr>
      <w:r w:rsidRPr="00F504EF">
        <w:t>Explanation of any loadings applied to restrict the elimination of margin of prudence within earned claims provisions and RI bad debt or to restrict profit in unearned premium, with supporting commentary from the signing actuary if appropriate.</w:t>
      </w:r>
    </w:p>
    <w:p w14:paraId="49DB4A8E" w14:textId="77777777" w:rsidR="00AB07DD" w:rsidRDefault="00AB07DD" w:rsidP="00A10322">
      <w:pPr>
        <w:pStyle w:val="Bullet"/>
        <w:numPr>
          <w:ilvl w:val="0"/>
          <w:numId w:val="33"/>
        </w:numPr>
      </w:pPr>
      <w:r w:rsidRPr="00F504EF">
        <w:t>Description of amounts recognised as other assets or liabilities in response to instructions dealing with Lloyd’s-specific concepts (for example, undistributed results and inter-year transfer of Solvency II valuation adjustment</w:t>
      </w:r>
      <w:r>
        <w:t>s.</w:t>
      </w:r>
    </w:p>
    <w:p w14:paraId="7CC80359" w14:textId="77777777" w:rsidR="00AB07DD" w:rsidRDefault="00AB07DD" w:rsidP="00A10322">
      <w:pPr>
        <w:pStyle w:val="Bullet"/>
        <w:numPr>
          <w:ilvl w:val="0"/>
          <w:numId w:val="33"/>
        </w:numPr>
      </w:pPr>
      <w:r w:rsidRPr="00F504EF">
        <w:t>Identification of amounts and counterparties for any inter-syndicate loans shown as assets or liabilities on the solvency balance sheet.</w:t>
      </w:r>
    </w:p>
    <w:p w14:paraId="20355E67" w14:textId="77777777" w:rsidR="00AB07DD" w:rsidRDefault="00AB07DD" w:rsidP="00A10322">
      <w:pPr>
        <w:pStyle w:val="Bullet"/>
        <w:numPr>
          <w:ilvl w:val="0"/>
          <w:numId w:val="33"/>
        </w:numPr>
      </w:pPr>
      <w:r w:rsidRPr="00F504EF">
        <w:t>Information on solvency adjustments made to balances such as deposits to cedants or from reinsurers, or provisions other than technical provisions, for which solvency adjustments would not normally be expected.</w:t>
      </w:r>
    </w:p>
    <w:p w14:paraId="3A734CA4" w14:textId="1A1B019B" w:rsidR="00AB07DD" w:rsidRDefault="00AB07DD" w:rsidP="00A10322">
      <w:pPr>
        <w:pStyle w:val="Bullet"/>
        <w:numPr>
          <w:ilvl w:val="0"/>
          <w:numId w:val="33"/>
        </w:numPr>
      </w:pPr>
      <w:r w:rsidRPr="00F504EF">
        <w:t>Explanation of absence of solvency adjustments where such adjustments would normally be expected (e.g. ENID and discount</w:t>
      </w:r>
      <w:r w:rsidR="00C519BE">
        <w:t>ing</w:t>
      </w:r>
      <w:r w:rsidRPr="00F504EF">
        <w:t>).</w:t>
      </w:r>
    </w:p>
    <w:p w14:paraId="67F315E3" w14:textId="63CBDF41" w:rsidR="00AB07DD" w:rsidRDefault="00AB07DD" w:rsidP="00A10322">
      <w:pPr>
        <w:pStyle w:val="Bullet"/>
        <w:numPr>
          <w:ilvl w:val="0"/>
          <w:numId w:val="33"/>
        </w:numPr>
      </w:pPr>
      <w:r w:rsidRPr="00F504EF">
        <w:t>Explanation if an item is reported (on any template</w:t>
      </w:r>
      <w:r>
        <w:t xml:space="preserve">) in a row or column where, according to the instructions, Lloyd’s is not expecting an item to be reported. </w:t>
      </w:r>
    </w:p>
    <w:p w14:paraId="0D834744" w14:textId="740FC542" w:rsidR="005301DD" w:rsidRPr="008343A2" w:rsidRDefault="00C77419" w:rsidP="005301DD">
      <w:pPr>
        <w:pStyle w:val="Heading2"/>
      </w:pPr>
      <w:bookmarkStart w:id="33" w:name="_Toc213062425"/>
      <w:bookmarkStart w:id="34" w:name="_Toc213069775"/>
      <w:bookmarkStart w:id="35" w:name="_Toc213670924"/>
      <w:bookmarkStart w:id="36" w:name="_Toc213767677"/>
      <w:bookmarkStart w:id="37" w:name="_Toc213830694"/>
      <w:bookmarkStart w:id="38" w:name="_Toc214831154"/>
      <w:bookmarkStart w:id="39" w:name="_Toc199360283"/>
      <w:bookmarkStart w:id="40" w:name="_Toc199360347"/>
      <w:bookmarkStart w:id="41" w:name="_Toc199360284"/>
      <w:bookmarkStart w:id="42" w:name="_Toc199360348"/>
      <w:bookmarkStart w:id="43" w:name="_Toc199360285"/>
      <w:bookmarkStart w:id="44" w:name="_Toc199360349"/>
      <w:bookmarkStart w:id="45" w:name="_Toc199360286"/>
      <w:bookmarkStart w:id="46" w:name="_Toc199360350"/>
      <w:bookmarkStart w:id="47" w:name="_Toc199360287"/>
      <w:bookmarkStart w:id="48" w:name="_Toc199360351"/>
      <w:bookmarkStart w:id="49" w:name="_Toc199360288"/>
      <w:bookmarkStart w:id="50" w:name="_Toc199360352"/>
      <w:bookmarkStart w:id="51" w:name="_Toc199360289"/>
      <w:bookmarkStart w:id="52" w:name="_Toc199360353"/>
      <w:bookmarkStart w:id="53" w:name="_Toc199360290"/>
      <w:bookmarkStart w:id="54" w:name="_Toc199360354"/>
      <w:bookmarkStart w:id="55" w:name="_Toc199360291"/>
      <w:bookmarkStart w:id="56" w:name="_Toc199360355"/>
      <w:bookmarkStart w:id="57" w:name="_Toc199360292"/>
      <w:bookmarkStart w:id="58" w:name="_Toc199360356"/>
      <w:bookmarkStart w:id="59" w:name="_Toc199360293"/>
      <w:bookmarkStart w:id="60" w:name="_Toc199360357"/>
      <w:bookmarkStart w:id="61" w:name="_Additional_solvency-related_data"/>
      <w:bookmarkStart w:id="62" w:name="_Toc213062426"/>
      <w:bookmarkStart w:id="63" w:name="_Toc213069776"/>
      <w:bookmarkStart w:id="64" w:name="_Toc213670925"/>
      <w:bookmarkStart w:id="65" w:name="_Toc213767678"/>
      <w:bookmarkStart w:id="66" w:name="_Toc213830695"/>
      <w:bookmarkStart w:id="67" w:name="_Toc214831155"/>
      <w:bookmarkStart w:id="68" w:name="_Toc213062427"/>
      <w:bookmarkStart w:id="69" w:name="_Toc213069777"/>
      <w:bookmarkStart w:id="70" w:name="_Toc213670926"/>
      <w:bookmarkStart w:id="71" w:name="_Toc213767679"/>
      <w:bookmarkStart w:id="72" w:name="_Toc213830696"/>
      <w:bookmarkStart w:id="73" w:name="_Toc214831156"/>
      <w:bookmarkStart w:id="74" w:name="_Toc213062428"/>
      <w:bookmarkStart w:id="75" w:name="_Toc213069778"/>
      <w:bookmarkStart w:id="76" w:name="_Toc213670927"/>
      <w:bookmarkStart w:id="77" w:name="_Toc213767680"/>
      <w:bookmarkStart w:id="78" w:name="_Toc213830697"/>
      <w:bookmarkStart w:id="79" w:name="_Toc214831157"/>
      <w:bookmarkStart w:id="80" w:name="_Toc213062429"/>
      <w:bookmarkStart w:id="81" w:name="_Toc213069779"/>
      <w:bookmarkStart w:id="82" w:name="_Toc213670928"/>
      <w:bookmarkStart w:id="83" w:name="_Toc213767681"/>
      <w:bookmarkStart w:id="84" w:name="_Toc213830698"/>
      <w:bookmarkStart w:id="85" w:name="_Toc214831158"/>
      <w:bookmarkStart w:id="86" w:name="_Toc213062430"/>
      <w:bookmarkStart w:id="87" w:name="_Toc213069780"/>
      <w:bookmarkStart w:id="88" w:name="_Toc213670929"/>
      <w:bookmarkStart w:id="89" w:name="_Toc213767682"/>
      <w:bookmarkStart w:id="90" w:name="_Toc213830699"/>
      <w:bookmarkStart w:id="91" w:name="_Toc214831159"/>
      <w:bookmarkStart w:id="92" w:name="_Toc201062535"/>
      <w:bookmarkStart w:id="93" w:name="_Toc225844974"/>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8343A2">
        <w:t>Members providing capital (Funds in Syndicate (FIS))</w:t>
      </w:r>
      <w:bookmarkEnd w:id="93"/>
    </w:p>
    <w:p w14:paraId="4723EA7B" w14:textId="3A91D57E" w:rsidR="00045EF0" w:rsidRPr="008343A2" w:rsidRDefault="00045EF0" w:rsidP="00A10322">
      <w:pPr>
        <w:pStyle w:val="Bullet"/>
      </w:pPr>
      <w:r w:rsidRPr="008343A2">
        <w:t xml:space="preserve">This template provides data for the </w:t>
      </w:r>
      <w:r w:rsidR="00C519BE">
        <w:t>facilitation</w:t>
      </w:r>
      <w:r w:rsidRPr="008343A2">
        <w:t xml:space="preserve"> of the Solvency II quarterly members’ solvency test including the calculation of the member level reporting point</w:t>
      </w:r>
      <w:r w:rsidR="00273F84" w:rsidRPr="008343A2">
        <w:t xml:space="preserve"> for </w:t>
      </w:r>
      <w:r w:rsidR="00780567" w:rsidRPr="008343A2">
        <w:t>Lloyd’s reporting to the</w:t>
      </w:r>
      <w:r w:rsidR="00E10DAC" w:rsidRPr="008343A2">
        <w:t xml:space="preserve"> PRA</w:t>
      </w:r>
      <w:r w:rsidRPr="008343A2">
        <w:t>.</w:t>
      </w:r>
    </w:p>
    <w:p w14:paraId="036FB44F" w14:textId="4BD23178" w:rsidR="00D32D2F" w:rsidRPr="008343A2" w:rsidRDefault="00D32D2F" w:rsidP="00A10322">
      <w:pPr>
        <w:pStyle w:val="Bullet"/>
      </w:pPr>
      <w:r w:rsidRPr="008343A2">
        <w:t xml:space="preserve">This </w:t>
      </w:r>
      <w:r w:rsidR="00B03B70" w:rsidRPr="008343A2">
        <w:t>template</w:t>
      </w:r>
      <w:r w:rsidRPr="008343A2">
        <w:t xml:space="preserve"> is only required if </w:t>
      </w:r>
      <w:r w:rsidR="00163D60" w:rsidRPr="008343A2">
        <w:t>FIS is reported on the balance sheet.</w:t>
      </w:r>
    </w:p>
    <w:p w14:paraId="687503ED" w14:textId="37EE81FA" w:rsidR="002D65B0" w:rsidRPr="008343A2" w:rsidRDefault="0019136D" w:rsidP="00A10322">
      <w:pPr>
        <w:pStyle w:val="Bullet"/>
      </w:pPr>
      <w:r w:rsidRPr="008343A2">
        <w:t xml:space="preserve">This </w:t>
      </w:r>
      <w:r w:rsidR="00B03B70" w:rsidRPr="008343A2">
        <w:t>template</w:t>
      </w:r>
      <w:r w:rsidRPr="008343A2">
        <w:t xml:space="preserve"> must be completed </w:t>
      </w:r>
      <w:r w:rsidR="00026FBE" w:rsidRPr="008343A2">
        <w:t xml:space="preserve">in respect of </w:t>
      </w:r>
      <w:r w:rsidR="00A067CA" w:rsidRPr="008343A2">
        <w:t>FIS</w:t>
      </w:r>
      <w:r w:rsidR="00026FBE" w:rsidRPr="008343A2">
        <w:t xml:space="preserve"> only</w:t>
      </w:r>
      <w:r w:rsidR="009D1395">
        <w:t xml:space="preserve"> -</w:t>
      </w:r>
      <w:r w:rsidR="00026FBE" w:rsidRPr="008343A2">
        <w:t xml:space="preserve"> not funds at Lloyd’s (FAL)</w:t>
      </w:r>
      <w:r w:rsidR="00991532" w:rsidRPr="008343A2">
        <w:t>.</w:t>
      </w:r>
    </w:p>
    <w:p w14:paraId="1B959B80" w14:textId="53FD195A" w:rsidR="00991532" w:rsidRPr="008343A2" w:rsidRDefault="00144293" w:rsidP="00A10322">
      <w:pPr>
        <w:pStyle w:val="Bullet"/>
      </w:pPr>
      <w:r w:rsidRPr="008343A2">
        <w:t xml:space="preserve">If the syndicate has one corporate member, then the code for that member should be entered in column </w:t>
      </w:r>
      <w:r w:rsidR="00283C31" w:rsidRPr="008343A2">
        <w:t>‘</w:t>
      </w:r>
      <w:r w:rsidR="00392089">
        <w:t>M</w:t>
      </w:r>
      <w:r w:rsidR="00283C31" w:rsidRPr="008343A2">
        <w:t xml:space="preserve">ember code’ </w:t>
      </w:r>
      <w:r w:rsidRPr="008343A2">
        <w:t>and the total of the</w:t>
      </w:r>
      <w:r w:rsidR="002939D4" w:rsidRPr="008343A2">
        <w:t xml:space="preserve"> FIS</w:t>
      </w:r>
      <w:r w:rsidRPr="008343A2">
        <w:t xml:space="preserve"> assets included within </w:t>
      </w:r>
      <w:r w:rsidR="00F3305C" w:rsidRPr="008343A2">
        <w:t xml:space="preserve">IR.02.01 </w:t>
      </w:r>
      <w:r w:rsidR="006C6DE2" w:rsidRPr="008343A2">
        <w:t xml:space="preserve">C0010 (Solvency II value) </w:t>
      </w:r>
      <w:r w:rsidRPr="008343A2">
        <w:t xml:space="preserve">entered in column </w:t>
      </w:r>
      <w:r w:rsidR="00F3305C" w:rsidRPr="008343A2">
        <w:t>‘capital’</w:t>
      </w:r>
      <w:r w:rsidRPr="008343A2">
        <w:t>, as a positive</w:t>
      </w:r>
      <w:r w:rsidR="00297CBA" w:rsidRPr="008343A2">
        <w:t xml:space="preserve"> entry</w:t>
      </w:r>
      <w:r w:rsidRPr="008343A2">
        <w:t>.</w:t>
      </w:r>
      <w:r w:rsidR="00F51386">
        <w:t xml:space="preserve"> </w:t>
      </w:r>
    </w:p>
    <w:p w14:paraId="3AC17F75" w14:textId="77777777" w:rsidR="00332D93" w:rsidRDefault="00415A33" w:rsidP="00A10322">
      <w:pPr>
        <w:pStyle w:val="Bullet"/>
      </w:pPr>
      <w:r w:rsidRPr="008343A2">
        <w:t xml:space="preserve">If the syndicate has more than one corporate member then the code for each member should be entered in column </w:t>
      </w:r>
      <w:r w:rsidR="007B7F4E" w:rsidRPr="008343A2">
        <w:t xml:space="preserve">‘member code’ </w:t>
      </w:r>
      <w:r w:rsidRPr="008343A2">
        <w:t xml:space="preserve">and each member’s share of the total </w:t>
      </w:r>
      <w:r w:rsidR="00987B7A" w:rsidRPr="008343A2">
        <w:t xml:space="preserve">FIS </w:t>
      </w:r>
      <w:r w:rsidRPr="008343A2">
        <w:t xml:space="preserve">assets included within </w:t>
      </w:r>
      <w:r w:rsidR="007B7F4E" w:rsidRPr="008343A2">
        <w:t>IR.02.01</w:t>
      </w:r>
      <w:r w:rsidR="00987B7A" w:rsidRPr="008343A2">
        <w:t xml:space="preserve"> C</w:t>
      </w:r>
      <w:r w:rsidR="00B85536" w:rsidRPr="008343A2">
        <w:t>0010 (Solvency II value</w:t>
      </w:r>
      <w:r w:rsidR="0024423D" w:rsidRPr="008343A2">
        <w:t>)</w:t>
      </w:r>
      <w:r w:rsidR="007B7F4E" w:rsidRPr="008343A2">
        <w:t xml:space="preserve"> </w:t>
      </w:r>
      <w:r w:rsidRPr="008343A2">
        <w:t xml:space="preserve">entered in column </w:t>
      </w:r>
      <w:r w:rsidR="007B7F4E" w:rsidRPr="008343A2">
        <w:t>‘capital.’</w:t>
      </w:r>
      <w:r w:rsidR="0024423D" w:rsidRPr="008343A2">
        <w:t xml:space="preserve"> as a positive entry</w:t>
      </w:r>
      <w:r w:rsidRPr="008343A2">
        <w:t>.</w:t>
      </w:r>
    </w:p>
    <w:p w14:paraId="206EBE95" w14:textId="77777777" w:rsidR="00D555EB" w:rsidRDefault="005D2EAB" w:rsidP="00A10322">
      <w:pPr>
        <w:pStyle w:val="Bullet"/>
      </w:pPr>
      <w:r w:rsidRPr="008343A2">
        <w:t xml:space="preserve">The total of column </w:t>
      </w:r>
      <w:r w:rsidR="00A17F90" w:rsidRPr="008343A2">
        <w:t>‘capital’</w:t>
      </w:r>
      <w:r w:rsidR="00C53D44" w:rsidRPr="008343A2">
        <w:t xml:space="preserve"> </w:t>
      </w:r>
      <w:r w:rsidRPr="008343A2">
        <w:t>must</w:t>
      </w:r>
      <w:r w:rsidR="00B7012F" w:rsidRPr="008343A2">
        <w:t>, taken together with member balances on all reporting years of account,</w:t>
      </w:r>
      <w:r w:rsidRPr="008343A2">
        <w:t xml:space="preserve"> equal</w:t>
      </w:r>
      <w:r w:rsidR="0026651C" w:rsidRPr="008343A2">
        <w:t xml:space="preserve"> </w:t>
      </w:r>
      <w:r w:rsidR="00A17F90" w:rsidRPr="008343A2">
        <w:t>IR.02.01</w:t>
      </w:r>
      <w:r w:rsidR="00C53D44" w:rsidRPr="008343A2">
        <w:t>,</w:t>
      </w:r>
      <w:r w:rsidR="00A76A68" w:rsidRPr="008343A2">
        <w:t xml:space="preserve"> C0010/R1000 (Solvency II value – excess of assets over liabilities).</w:t>
      </w:r>
    </w:p>
    <w:p w14:paraId="6E2117C8" w14:textId="178D3D20" w:rsidR="008C155A" w:rsidRDefault="008066AB" w:rsidP="0014401F">
      <w:pPr>
        <w:pStyle w:val="Heading1"/>
      </w:pPr>
      <w:bookmarkStart w:id="94" w:name="_Toc213670931"/>
      <w:bookmarkStart w:id="95" w:name="_Toc213767684"/>
      <w:bookmarkStart w:id="96" w:name="_Toc213830701"/>
      <w:bookmarkStart w:id="97" w:name="_Toc214831161"/>
      <w:bookmarkStart w:id="98" w:name="_Toc225844975"/>
      <w:bookmarkEnd w:id="94"/>
      <w:bookmarkEnd w:id="95"/>
      <w:bookmarkEnd w:id="96"/>
      <w:bookmarkEnd w:id="97"/>
      <w:r>
        <w:t>Submission</w:t>
      </w:r>
      <w:bookmarkEnd w:id="98"/>
    </w:p>
    <w:p w14:paraId="45E488ED" w14:textId="77777777" w:rsidR="00C110CA" w:rsidRDefault="00C110CA" w:rsidP="00C110CA">
      <w:pPr>
        <w:pStyle w:val="Heading2"/>
      </w:pPr>
      <w:bookmarkStart w:id="99" w:name="_Toc199510581"/>
      <w:bookmarkStart w:id="100" w:name="_Toc225844976"/>
      <w:r w:rsidRPr="00D73433">
        <w:t>Submission portal</w:t>
      </w:r>
      <w:bookmarkEnd w:id="99"/>
      <w:bookmarkEnd w:id="100"/>
    </w:p>
    <w:p w14:paraId="6B65D944" w14:textId="056F4871" w:rsidR="00C110CA" w:rsidRPr="007D5D76" w:rsidRDefault="00C110CA" w:rsidP="00A10322">
      <w:pPr>
        <w:pStyle w:val="Bullet"/>
      </w:pPr>
      <w:r w:rsidRPr="00F3312B">
        <w:t xml:space="preserve">The </w:t>
      </w:r>
      <w:r w:rsidR="00EC7925" w:rsidRPr="00F3312B">
        <w:t xml:space="preserve">supplementary </w:t>
      </w:r>
      <w:r w:rsidRPr="00F3312B">
        <w:t>solvency data template can be downloaded from the</w:t>
      </w:r>
      <w:r w:rsidR="00020F0E" w:rsidRPr="00F3312B">
        <w:t xml:space="preserve"> Lloyd’s</w:t>
      </w:r>
      <w:r w:rsidRPr="00F3312B">
        <w:t xml:space="preserve"> </w:t>
      </w:r>
      <w:hyperlink r:id="rId20" w:history="1">
        <w:r w:rsidRPr="00F3312B">
          <w:rPr>
            <w:rStyle w:val="Hyperlink"/>
          </w:rPr>
          <w:t>Solvency UK</w:t>
        </w:r>
      </w:hyperlink>
      <w:r w:rsidRPr="00F3312B">
        <w:t xml:space="preserve"> site and should be submitted to Lloyd’s, in </w:t>
      </w:r>
      <w:r w:rsidR="00BF18D8">
        <w:t>E</w:t>
      </w:r>
      <w:r w:rsidRPr="00F3312B">
        <w:t>xcel format, using SecureShare. The site name on SecureShare is “</w:t>
      </w:r>
      <w:r w:rsidRPr="00F3312B">
        <w:rPr>
          <w:b/>
        </w:rPr>
        <w:t>Solvency UK</w:t>
      </w:r>
      <w:r w:rsidRPr="00F3312B">
        <w:t>”.</w:t>
      </w:r>
    </w:p>
    <w:p w14:paraId="3D4CF87E" w14:textId="343CD58A" w:rsidR="00C110CA" w:rsidRDefault="00C110CA" w:rsidP="00A10322">
      <w:pPr>
        <w:pStyle w:val="Bullet"/>
      </w:pPr>
      <w:r>
        <w:t>Files are to be loaded directly into the folder, no sub-folders are to be created, as files contained in sub-folders will not be processed.</w:t>
      </w:r>
      <w:r w:rsidR="00C12B8D">
        <w:t xml:space="preserve"> </w:t>
      </w:r>
      <w:r w:rsidR="00220B0C">
        <w:t xml:space="preserve">Submissions via email </w:t>
      </w:r>
      <w:r w:rsidR="00C12B8D">
        <w:t>are not accepted.</w:t>
      </w:r>
    </w:p>
    <w:p w14:paraId="4CE5DE1A" w14:textId="7844C00B" w:rsidR="00C110CA" w:rsidRDefault="00C110CA" w:rsidP="00A10322">
      <w:pPr>
        <w:pStyle w:val="Bullet"/>
      </w:pPr>
      <w:r>
        <w:t>The files uploaded to SecureShare must use the following naming convention:</w:t>
      </w:r>
    </w:p>
    <w:p w14:paraId="29866D9A" w14:textId="7E9DF88A" w:rsidR="00C110CA" w:rsidRDefault="00C110CA" w:rsidP="00F3312B">
      <w:pPr>
        <w:pStyle w:val="Bullet"/>
        <w:numPr>
          <w:ilvl w:val="0"/>
          <w:numId w:val="0"/>
        </w:numPr>
        <w:rPr>
          <w:rFonts w:ascii="Aptos" w:hAnsi="Aptos"/>
          <w:lang w:val="en-US"/>
        </w:rPr>
      </w:pPr>
      <w:r w:rsidRPr="00F3312B">
        <w:rPr>
          <w:b/>
        </w:rPr>
        <w:t>Quarterly</w:t>
      </w:r>
      <w:r>
        <w:rPr>
          <w:b/>
          <w:lang w:val="en-US"/>
        </w:rPr>
        <w:t>:</w:t>
      </w:r>
      <w:r>
        <w:rPr>
          <w:lang w:val="en-US"/>
        </w:rPr>
        <w:t xml:space="preserve"> solvency_xxxx_yyyyQ</w:t>
      </w:r>
      <w:r w:rsidR="00AF509D">
        <w:rPr>
          <w:lang w:val="en-US"/>
        </w:rPr>
        <w:t>Q</w:t>
      </w:r>
      <w:r>
        <w:rPr>
          <w:lang w:val="en-US"/>
        </w:rPr>
        <w:t xml:space="preserve"> where xxxx refers to 4-digit syndicate number and yyyy to the reporting year </w:t>
      </w:r>
      <w:r w:rsidR="00054EE4">
        <w:rPr>
          <w:i/>
          <w:iCs/>
          <w:lang w:val="en-US"/>
        </w:rPr>
        <w:t>e</w:t>
      </w:r>
      <w:r>
        <w:rPr>
          <w:i/>
          <w:iCs/>
          <w:lang w:val="en-US"/>
        </w:rPr>
        <w:t>.g.</w:t>
      </w:r>
      <w:r>
        <w:rPr>
          <w:lang w:val="en-US"/>
        </w:rPr>
        <w:t xml:space="preserve"> solvency_1996_202</w:t>
      </w:r>
      <w:r w:rsidR="00B4370A">
        <w:rPr>
          <w:lang w:val="en-US"/>
        </w:rPr>
        <w:t>5</w:t>
      </w:r>
      <w:r>
        <w:rPr>
          <w:lang w:val="en-US"/>
        </w:rPr>
        <w:t>Q4</w:t>
      </w:r>
    </w:p>
    <w:p w14:paraId="252784D7" w14:textId="0929D8E8" w:rsidR="00C110CA" w:rsidRDefault="00C110CA" w:rsidP="00F3312B">
      <w:pPr>
        <w:pStyle w:val="Bullet"/>
        <w:numPr>
          <w:ilvl w:val="0"/>
          <w:numId w:val="0"/>
        </w:numPr>
        <w:rPr>
          <w:lang w:val="en-US"/>
        </w:rPr>
      </w:pPr>
      <w:r>
        <w:rPr>
          <w:b/>
          <w:lang w:val="en-US"/>
        </w:rPr>
        <w:lastRenderedPageBreak/>
        <w:t>Annual:</w:t>
      </w:r>
      <w:r>
        <w:rPr>
          <w:lang w:val="en-US"/>
        </w:rPr>
        <w:t xml:space="preserve"> solvency_xxxx_yyyyA where xxxx refers to 4-digit syndicate number and yyyy to the reporting year </w:t>
      </w:r>
      <w:r w:rsidR="00054EE4">
        <w:rPr>
          <w:i/>
          <w:iCs/>
          <w:lang w:val="en-US"/>
        </w:rPr>
        <w:t>e</w:t>
      </w:r>
      <w:r>
        <w:rPr>
          <w:i/>
          <w:iCs/>
          <w:lang w:val="en-US"/>
        </w:rPr>
        <w:t>.g</w:t>
      </w:r>
      <w:r>
        <w:rPr>
          <w:lang w:val="en-US"/>
        </w:rPr>
        <w:t>. solvency_</w:t>
      </w:r>
      <w:r w:rsidRPr="00F3312B">
        <w:t>1996</w:t>
      </w:r>
      <w:r>
        <w:rPr>
          <w:lang w:val="en-US"/>
        </w:rPr>
        <w:t>_202</w:t>
      </w:r>
      <w:r w:rsidR="00B4370A">
        <w:rPr>
          <w:lang w:val="en-US"/>
        </w:rPr>
        <w:t>5</w:t>
      </w:r>
      <w:r>
        <w:rPr>
          <w:lang w:val="en-US"/>
        </w:rPr>
        <w:t>A</w:t>
      </w:r>
    </w:p>
    <w:p w14:paraId="5B051584" w14:textId="2C64C3E5" w:rsidR="00C110CA" w:rsidRPr="009B14DA" w:rsidRDefault="00C110CA" w:rsidP="00A10322">
      <w:pPr>
        <w:pStyle w:val="Bullet"/>
      </w:pPr>
      <w:r>
        <w:t>Guidance on how to access SecureShare can be found here</w:t>
      </w:r>
      <w:r w:rsidRPr="00673BA3">
        <w:t xml:space="preserve">: </w:t>
      </w:r>
      <w:hyperlink r:id="rId21" w:history="1">
        <w:r w:rsidRPr="00673BA3">
          <w:rPr>
            <w:rStyle w:val="Hyperlink"/>
            <w:rFonts w:cs="Times New Roman"/>
            <w:bCs w:val="0"/>
          </w:rPr>
          <w:t>https://www.lloyds.com/market-resources/tools/secureshare</w:t>
        </w:r>
      </w:hyperlink>
      <w:r w:rsidRPr="00673BA3">
        <w:t xml:space="preserve">. </w:t>
      </w:r>
    </w:p>
    <w:p w14:paraId="5DCA6AD8" w14:textId="10BE7A35" w:rsidR="00EF2286" w:rsidRDefault="002565DA" w:rsidP="00EF2286">
      <w:pPr>
        <w:pStyle w:val="Heading2"/>
      </w:pPr>
      <w:bookmarkStart w:id="101" w:name="_Toc225844977"/>
      <w:r>
        <w:t>Validations</w:t>
      </w:r>
      <w:bookmarkEnd w:id="101"/>
    </w:p>
    <w:p w14:paraId="06588D81" w14:textId="1F3D3124" w:rsidR="00D732B1" w:rsidRDefault="00A019E9" w:rsidP="00A10322">
      <w:pPr>
        <w:pStyle w:val="Bullet"/>
      </w:pPr>
      <w:r>
        <w:t>The validations built into the template are as follows</w:t>
      </w:r>
      <w:r w:rsidR="00584590">
        <w: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458"/>
      </w:tblGrid>
      <w:tr w:rsidR="00A210BF" w:rsidRPr="001519F4" w14:paraId="50D34E79" w14:textId="77777777" w:rsidTr="00F3312B">
        <w:tc>
          <w:tcPr>
            <w:tcW w:w="2830" w:type="dxa"/>
            <w:shd w:val="clear" w:color="auto" w:fill="F2F2F2" w:themeFill="background1" w:themeFillShade="F2"/>
          </w:tcPr>
          <w:p w14:paraId="4C6C7FA1" w14:textId="12426F73" w:rsidR="00A210BF" w:rsidRPr="00F3312B" w:rsidRDefault="00A210BF" w:rsidP="00F3312B">
            <w:pPr>
              <w:pStyle w:val="Bullet"/>
              <w:numPr>
                <w:ilvl w:val="0"/>
                <w:numId w:val="0"/>
              </w:numPr>
              <w:spacing w:before="40" w:after="40"/>
              <w:rPr>
                <w:b/>
                <w:bCs w:val="0"/>
                <w:sz w:val="18"/>
                <w:szCs w:val="18"/>
              </w:rPr>
            </w:pPr>
            <w:r w:rsidRPr="00F3312B">
              <w:rPr>
                <w:b/>
                <w:bCs w:val="0"/>
                <w:sz w:val="18"/>
                <w:szCs w:val="18"/>
              </w:rPr>
              <w:t>Template</w:t>
            </w:r>
          </w:p>
        </w:tc>
        <w:tc>
          <w:tcPr>
            <w:tcW w:w="6458" w:type="dxa"/>
            <w:shd w:val="clear" w:color="auto" w:fill="F2F2F2" w:themeFill="background1" w:themeFillShade="F2"/>
          </w:tcPr>
          <w:p w14:paraId="79691EE6" w14:textId="6CC41B41" w:rsidR="00A210BF" w:rsidRPr="00F3312B" w:rsidRDefault="00A210BF" w:rsidP="00F3312B">
            <w:pPr>
              <w:pStyle w:val="Bullet"/>
              <w:numPr>
                <w:ilvl w:val="0"/>
                <w:numId w:val="0"/>
              </w:numPr>
              <w:spacing w:before="40" w:after="40"/>
              <w:rPr>
                <w:b/>
                <w:bCs w:val="0"/>
                <w:sz w:val="18"/>
                <w:szCs w:val="18"/>
              </w:rPr>
            </w:pPr>
            <w:r w:rsidRPr="00F3312B">
              <w:rPr>
                <w:b/>
                <w:bCs w:val="0"/>
                <w:sz w:val="18"/>
                <w:szCs w:val="18"/>
              </w:rPr>
              <w:t>Validat</w:t>
            </w:r>
            <w:r w:rsidR="00194A0D" w:rsidRPr="00F3312B">
              <w:rPr>
                <w:b/>
                <w:bCs w:val="0"/>
                <w:sz w:val="18"/>
                <w:szCs w:val="18"/>
              </w:rPr>
              <w:t>i</w:t>
            </w:r>
            <w:r w:rsidRPr="00F3312B">
              <w:rPr>
                <w:b/>
                <w:bCs w:val="0"/>
                <w:sz w:val="18"/>
                <w:szCs w:val="18"/>
              </w:rPr>
              <w:t>on</w:t>
            </w:r>
          </w:p>
        </w:tc>
      </w:tr>
      <w:tr w:rsidR="00A210BF" w:rsidRPr="001519F4" w14:paraId="37EA20EB" w14:textId="77777777" w:rsidTr="00194A0D">
        <w:tc>
          <w:tcPr>
            <w:tcW w:w="2830" w:type="dxa"/>
          </w:tcPr>
          <w:p w14:paraId="5576479B" w14:textId="50A9CD85" w:rsidR="00A210BF" w:rsidRPr="00F3312B" w:rsidRDefault="00194A0D" w:rsidP="00F3312B">
            <w:pPr>
              <w:pStyle w:val="Bullet"/>
              <w:numPr>
                <w:ilvl w:val="0"/>
                <w:numId w:val="0"/>
              </w:numPr>
              <w:spacing w:before="40" w:after="40"/>
              <w:rPr>
                <w:sz w:val="18"/>
                <w:szCs w:val="18"/>
              </w:rPr>
            </w:pPr>
            <w:r w:rsidRPr="00F3312B">
              <w:rPr>
                <w:sz w:val="18"/>
                <w:szCs w:val="18"/>
              </w:rPr>
              <w:t>Solvency balance sheet reconciliation and Reinsurance Contract Boundary</w:t>
            </w:r>
          </w:p>
        </w:tc>
        <w:tc>
          <w:tcPr>
            <w:tcW w:w="6458" w:type="dxa"/>
          </w:tcPr>
          <w:p w14:paraId="258B2DD6" w14:textId="0992FF7C" w:rsidR="00A210BF" w:rsidRPr="00F3312B" w:rsidRDefault="00544999" w:rsidP="00F3312B">
            <w:pPr>
              <w:pStyle w:val="Bullet"/>
              <w:numPr>
                <w:ilvl w:val="0"/>
                <w:numId w:val="0"/>
              </w:numPr>
              <w:spacing w:before="40" w:after="40"/>
              <w:rPr>
                <w:sz w:val="18"/>
                <w:szCs w:val="18"/>
              </w:rPr>
            </w:pPr>
            <w:r w:rsidRPr="00F3312B">
              <w:rPr>
                <w:sz w:val="18"/>
                <w:szCs w:val="18"/>
              </w:rPr>
              <w:t>There is a Control table at the bottom of the template validating UK GAAP and Solvency II validations:</w:t>
            </w:r>
          </w:p>
          <w:p w14:paraId="35A5E25F" w14:textId="675FDD82" w:rsidR="00A210BF" w:rsidRPr="00F3312B" w:rsidRDefault="00E15763" w:rsidP="00F3312B">
            <w:pPr>
              <w:pStyle w:val="Bullet"/>
              <w:numPr>
                <w:ilvl w:val="0"/>
                <w:numId w:val="0"/>
              </w:numPr>
              <w:spacing w:before="40" w:after="40"/>
              <w:rPr>
                <w:sz w:val="18"/>
                <w:szCs w:val="18"/>
              </w:rPr>
            </w:pPr>
            <w:r w:rsidRPr="00F3312B">
              <w:rPr>
                <w:b/>
                <w:sz w:val="18"/>
                <w:szCs w:val="18"/>
              </w:rPr>
              <w:t>Excess of assets over liabilities (</w:t>
            </w:r>
            <w:r w:rsidR="00614845" w:rsidRPr="00F3312B">
              <w:rPr>
                <w:b/>
                <w:sz w:val="18"/>
                <w:szCs w:val="18"/>
              </w:rPr>
              <w:t>IR</w:t>
            </w:r>
            <w:r w:rsidRPr="00F3312B">
              <w:rPr>
                <w:b/>
                <w:sz w:val="18"/>
                <w:szCs w:val="18"/>
              </w:rPr>
              <w:t>.02.01 R1000)</w:t>
            </w:r>
            <w:r w:rsidR="000015BD" w:rsidRPr="00F3312B">
              <w:rPr>
                <w:b/>
                <w:sz w:val="18"/>
                <w:szCs w:val="18"/>
              </w:rPr>
              <w:t xml:space="preserve"> minus</w:t>
            </w:r>
            <w:r w:rsidR="000015BD" w:rsidRPr="00F3312B">
              <w:rPr>
                <w:sz w:val="18"/>
                <w:szCs w:val="18"/>
              </w:rPr>
              <w:t xml:space="preserve"> FIS (Initial funds, members’ contributions or the equivalent basic own</w:t>
            </w:r>
            <w:r w:rsidR="00A02BCD" w:rsidRPr="00F3312B">
              <w:rPr>
                <w:sz w:val="18"/>
                <w:szCs w:val="18"/>
              </w:rPr>
              <w:t xml:space="preserve">-fund item for mutual and mutual-type </w:t>
            </w:r>
            <w:r w:rsidR="00297146" w:rsidRPr="00F3312B">
              <w:rPr>
                <w:sz w:val="18"/>
                <w:szCs w:val="18"/>
              </w:rPr>
              <w:t xml:space="preserve">undertakings – IR.23.01.01 </w:t>
            </w:r>
            <w:r w:rsidR="00E20EA6" w:rsidRPr="00F3312B">
              <w:rPr>
                <w:sz w:val="18"/>
                <w:szCs w:val="18"/>
              </w:rPr>
              <w:t>R0040)</w:t>
            </w:r>
            <w:r w:rsidR="00D676AF" w:rsidRPr="00F3312B">
              <w:rPr>
                <w:sz w:val="18"/>
                <w:szCs w:val="18"/>
              </w:rPr>
              <w:t xml:space="preserve"> </w:t>
            </w:r>
            <w:r w:rsidR="00D676AF" w:rsidRPr="00F3312B">
              <w:rPr>
                <w:b/>
                <w:sz w:val="18"/>
                <w:szCs w:val="18"/>
              </w:rPr>
              <w:t>Minus</w:t>
            </w:r>
            <w:r w:rsidR="00D676AF" w:rsidRPr="00F3312B">
              <w:rPr>
                <w:sz w:val="18"/>
                <w:szCs w:val="18"/>
              </w:rPr>
              <w:t xml:space="preserve"> Members’ balance (e</w:t>
            </w:r>
            <w:r w:rsidR="00586C99" w:rsidRPr="00F3312B">
              <w:rPr>
                <w:sz w:val="18"/>
                <w:szCs w:val="18"/>
              </w:rPr>
              <w:t>xcluding FIS and amounts due to/from members)</w:t>
            </w:r>
            <w:r w:rsidR="008728EA" w:rsidRPr="00F3312B">
              <w:rPr>
                <w:sz w:val="18"/>
                <w:szCs w:val="18"/>
              </w:rPr>
              <w:t xml:space="preserve"> </w:t>
            </w:r>
            <w:r w:rsidR="009821D4" w:rsidRPr="00F3312B">
              <w:rPr>
                <w:sz w:val="18"/>
                <w:szCs w:val="18"/>
              </w:rPr>
              <w:t>must</w:t>
            </w:r>
            <w:r w:rsidR="008728EA" w:rsidRPr="00F3312B">
              <w:rPr>
                <w:sz w:val="18"/>
                <w:szCs w:val="18"/>
              </w:rPr>
              <w:t xml:space="preserve"> </w:t>
            </w:r>
            <w:r w:rsidR="008728EA" w:rsidRPr="00F3312B">
              <w:rPr>
                <w:b/>
                <w:sz w:val="18"/>
                <w:szCs w:val="18"/>
              </w:rPr>
              <w:t>equal zero</w:t>
            </w:r>
          </w:p>
        </w:tc>
      </w:tr>
      <w:tr w:rsidR="00A210BF" w:rsidRPr="001519F4" w14:paraId="4E4BF396" w14:textId="77777777" w:rsidTr="00194A0D">
        <w:tc>
          <w:tcPr>
            <w:tcW w:w="2830" w:type="dxa"/>
          </w:tcPr>
          <w:p w14:paraId="2BFD9903" w14:textId="6C54C551" w:rsidR="00A210BF" w:rsidRPr="00F3312B" w:rsidRDefault="00FF3905" w:rsidP="00F3312B">
            <w:pPr>
              <w:pStyle w:val="Bullet"/>
              <w:numPr>
                <w:ilvl w:val="0"/>
                <w:numId w:val="0"/>
              </w:numPr>
              <w:spacing w:before="40" w:after="40"/>
              <w:rPr>
                <w:sz w:val="18"/>
                <w:szCs w:val="18"/>
              </w:rPr>
            </w:pPr>
            <w:r w:rsidRPr="00F3312B">
              <w:rPr>
                <w:sz w:val="18"/>
                <w:szCs w:val="18"/>
              </w:rPr>
              <w:t>FIS</w:t>
            </w:r>
          </w:p>
        </w:tc>
        <w:tc>
          <w:tcPr>
            <w:tcW w:w="6458" w:type="dxa"/>
          </w:tcPr>
          <w:p w14:paraId="3AE3C010" w14:textId="1F15AB55" w:rsidR="00A210BF" w:rsidRPr="00F3312B" w:rsidRDefault="00FF3905" w:rsidP="00F3312B">
            <w:pPr>
              <w:pStyle w:val="Bullet"/>
              <w:numPr>
                <w:ilvl w:val="0"/>
                <w:numId w:val="0"/>
              </w:numPr>
              <w:spacing w:before="40" w:after="40"/>
              <w:rPr>
                <w:sz w:val="18"/>
                <w:szCs w:val="18"/>
              </w:rPr>
            </w:pPr>
            <w:r w:rsidRPr="00F3312B">
              <w:rPr>
                <w:sz w:val="18"/>
                <w:szCs w:val="18"/>
              </w:rPr>
              <w:t>There is a validation in the FIS template validating capital input in the template to IR.23.01</w:t>
            </w:r>
            <w:r w:rsidR="00AF5748" w:rsidRPr="00F3312B">
              <w:rPr>
                <w:sz w:val="18"/>
                <w:szCs w:val="18"/>
              </w:rPr>
              <w:t>.</w:t>
            </w:r>
          </w:p>
        </w:tc>
      </w:tr>
    </w:tbl>
    <w:p w14:paraId="1256732B" w14:textId="77777777" w:rsidR="008B4402" w:rsidRPr="00204DAB" w:rsidRDefault="008B4402" w:rsidP="008B4402">
      <w:pPr>
        <w:pStyle w:val="Heading2"/>
      </w:pPr>
      <w:bookmarkStart w:id="102" w:name="_Toc213670935"/>
      <w:bookmarkStart w:id="103" w:name="_Toc213767688"/>
      <w:bookmarkStart w:id="104" w:name="_Toc213830705"/>
      <w:bookmarkStart w:id="105" w:name="_Toc214831165"/>
      <w:bookmarkStart w:id="106" w:name="_Toc213062438"/>
      <w:bookmarkStart w:id="107" w:name="_Toc213069786"/>
      <w:bookmarkStart w:id="108" w:name="_Toc213670936"/>
      <w:bookmarkStart w:id="109" w:name="_Toc213767689"/>
      <w:bookmarkStart w:id="110" w:name="_Toc213830706"/>
      <w:bookmarkStart w:id="111" w:name="_Toc214831166"/>
      <w:bookmarkStart w:id="112" w:name="_Toc213062439"/>
      <w:bookmarkStart w:id="113" w:name="_Toc213069787"/>
      <w:bookmarkStart w:id="114" w:name="_Toc213670937"/>
      <w:bookmarkStart w:id="115" w:name="_Toc213767690"/>
      <w:bookmarkStart w:id="116" w:name="_Toc213830707"/>
      <w:bookmarkStart w:id="117" w:name="_Toc214831167"/>
      <w:bookmarkStart w:id="118" w:name="_Toc199510583"/>
      <w:bookmarkStart w:id="119" w:name="_Toc225844978"/>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Pr="00204DAB">
        <w:t>Resubmission</w:t>
      </w:r>
      <w:bookmarkEnd w:id="118"/>
      <w:bookmarkEnd w:id="119"/>
      <w:r w:rsidRPr="00204DAB">
        <w:t xml:space="preserve"> </w:t>
      </w:r>
    </w:p>
    <w:p w14:paraId="198CF311" w14:textId="6B2E32D3" w:rsidR="008B4402" w:rsidRDefault="008B4402" w:rsidP="00A10322">
      <w:pPr>
        <w:pStyle w:val="Bullet"/>
      </w:pPr>
      <w:r w:rsidRPr="000742FF">
        <w:t>Resubmissions</w:t>
      </w:r>
      <w:r w:rsidRPr="001B2EBC">
        <w:t xml:space="preserve"> </w:t>
      </w:r>
      <w:r w:rsidRPr="000742FF">
        <w:t>are</w:t>
      </w:r>
      <w:r w:rsidRPr="001B2EBC">
        <w:t xml:space="preserve"> </w:t>
      </w:r>
      <w:r w:rsidRPr="000742FF">
        <w:t>not</w:t>
      </w:r>
      <w:r w:rsidRPr="001B2EBC">
        <w:t xml:space="preserve"> </w:t>
      </w:r>
      <w:r w:rsidRPr="000742FF">
        <w:t>expected</w:t>
      </w:r>
      <w:r w:rsidRPr="001B2EBC">
        <w:t xml:space="preserve"> </w:t>
      </w:r>
      <w:r w:rsidRPr="000742FF">
        <w:t>to</w:t>
      </w:r>
      <w:r w:rsidRPr="001B2EBC">
        <w:t xml:space="preserve"> </w:t>
      </w:r>
      <w:r w:rsidRPr="000742FF">
        <w:t>happen</w:t>
      </w:r>
      <w:r w:rsidRPr="001B2EBC">
        <w:t xml:space="preserve"> </w:t>
      </w:r>
      <w:r w:rsidRPr="000742FF">
        <w:t>in</w:t>
      </w:r>
      <w:r w:rsidRPr="001B2EBC">
        <w:t xml:space="preserve"> </w:t>
      </w:r>
      <w:r w:rsidRPr="000742FF">
        <w:t>the</w:t>
      </w:r>
      <w:r w:rsidRPr="001B2EBC">
        <w:t xml:space="preserve"> </w:t>
      </w:r>
      <w:r w:rsidRPr="000742FF">
        <w:t>ordinary</w:t>
      </w:r>
      <w:r w:rsidRPr="001B2EBC">
        <w:t xml:space="preserve"> </w:t>
      </w:r>
      <w:r w:rsidRPr="000742FF">
        <w:t>course</w:t>
      </w:r>
      <w:r w:rsidRPr="001B2EBC">
        <w:t xml:space="preserve"> </w:t>
      </w:r>
      <w:r w:rsidRPr="000742FF">
        <w:t>of</w:t>
      </w:r>
      <w:r w:rsidRPr="001B2EBC">
        <w:t xml:space="preserve"> </w:t>
      </w:r>
      <w:r w:rsidRPr="000742FF">
        <w:t>business</w:t>
      </w:r>
      <w:r w:rsidRPr="001B2EBC">
        <w:t xml:space="preserve"> </w:t>
      </w:r>
      <w:r w:rsidRPr="000742FF">
        <w:t>and</w:t>
      </w:r>
      <w:r w:rsidRPr="001B2EBC">
        <w:t xml:space="preserve"> </w:t>
      </w:r>
      <w:r w:rsidRPr="000742FF">
        <w:t>will</w:t>
      </w:r>
      <w:r w:rsidRPr="001B2EBC">
        <w:t xml:space="preserve"> </w:t>
      </w:r>
      <w:r w:rsidRPr="000742FF">
        <w:t>be</w:t>
      </w:r>
      <w:r w:rsidRPr="001B2EBC">
        <w:t xml:space="preserve"> </w:t>
      </w:r>
      <w:r w:rsidRPr="000742FF">
        <w:t xml:space="preserve">treated as exceptional and dealt with on a case-by-case basis. It is the responsibility of the managing agent to ensure the completeness and accuracy of the </w:t>
      </w:r>
      <w:r w:rsidR="006F3574">
        <w:t xml:space="preserve">supplementary </w:t>
      </w:r>
      <w:r>
        <w:t>solvency data</w:t>
      </w:r>
      <w:r w:rsidRPr="000742FF">
        <w:t>.</w:t>
      </w:r>
    </w:p>
    <w:p w14:paraId="28A318DB" w14:textId="4DBD8E41" w:rsidR="009448F0" w:rsidRPr="000742FF" w:rsidRDefault="009448F0" w:rsidP="009448F0">
      <w:pPr>
        <w:pStyle w:val="Bullet"/>
      </w:pPr>
      <w:r>
        <w:t xml:space="preserve">Where a resubmission is to be made, </w:t>
      </w:r>
      <w:r w:rsidRPr="0093533A">
        <w:rPr>
          <w:b/>
          <w:bCs w:val="0"/>
        </w:rPr>
        <w:t>delete</w:t>
      </w:r>
      <w:r w:rsidRPr="00926FE5">
        <w:t xml:space="preserve"> the file that was originally submitted, and </w:t>
      </w:r>
      <w:r w:rsidRPr="0093533A">
        <w:rPr>
          <w:b/>
          <w:bCs w:val="0"/>
        </w:rPr>
        <w:t>reupload</w:t>
      </w:r>
      <w:r w:rsidRPr="00926FE5">
        <w:t xml:space="preserve"> the corrected file following the required naming convention</w:t>
      </w:r>
      <w:r>
        <w:t>.</w:t>
      </w:r>
    </w:p>
    <w:p w14:paraId="6EA6B346" w14:textId="6660B718" w:rsidR="002505EA" w:rsidRPr="002505EA" w:rsidRDefault="008B4402" w:rsidP="00A10322">
      <w:pPr>
        <w:pStyle w:val="Bullet"/>
      </w:pPr>
      <w:r w:rsidRPr="000742FF">
        <w:t xml:space="preserve">If a managing agent becomes aware of an event that may result in resubmission, they should contact Central Finance immediately </w:t>
      </w:r>
      <w:r w:rsidRPr="001B2EBC">
        <w:t>at</w:t>
      </w:r>
      <w:r w:rsidRPr="00740B7C">
        <w:t xml:space="preserve"> </w:t>
      </w:r>
      <w:hyperlink r:id="rId22" w:history="1">
        <w:r w:rsidR="004B24A6" w:rsidRPr="00267981">
          <w:rPr>
            <w:rStyle w:val="Hyperlink"/>
          </w:rPr>
          <w:t>Lloyds-SolvencyReturns@lloyds.com</w:t>
        </w:r>
      </w:hyperlink>
      <w:r w:rsidR="004B24A6">
        <w:t>.</w:t>
      </w:r>
    </w:p>
    <w:p w14:paraId="7047BE9D" w14:textId="1A3C5659" w:rsidR="00476352" w:rsidRDefault="00CD6673" w:rsidP="00476352">
      <w:pPr>
        <w:pStyle w:val="Heading1"/>
      </w:pPr>
      <w:bookmarkStart w:id="120" w:name="_Toc225844979"/>
      <w:r>
        <w:t>Managing Agent Report</w:t>
      </w:r>
      <w:bookmarkEnd w:id="120"/>
    </w:p>
    <w:p w14:paraId="1CDE3279" w14:textId="275D0A08" w:rsidR="00F419EC" w:rsidRDefault="00B9505E" w:rsidP="00F419EC">
      <w:pPr>
        <w:pStyle w:val="Heading2"/>
        <w:spacing w:after="120" w:line="240" w:lineRule="auto"/>
      </w:pPr>
      <w:bookmarkStart w:id="121" w:name="_Toc199510585"/>
      <w:bookmarkStart w:id="122" w:name="_Toc225844980"/>
      <w:r>
        <w:t>Managing Agent Report</w:t>
      </w:r>
      <w:r w:rsidR="00F419EC">
        <w:t xml:space="preserve"> format</w:t>
      </w:r>
      <w:bookmarkEnd w:id="121"/>
      <w:bookmarkEnd w:id="122"/>
    </w:p>
    <w:p w14:paraId="492D963C" w14:textId="47038A95" w:rsidR="00E81F3F" w:rsidRPr="00E81F3F" w:rsidRDefault="00E81F3F" w:rsidP="00F3312B">
      <w:pPr>
        <w:pStyle w:val="Bullet"/>
        <w:numPr>
          <w:ilvl w:val="2"/>
          <w:numId w:val="10"/>
        </w:numPr>
      </w:pPr>
      <w:r w:rsidRPr="00E81F3F">
        <w:t xml:space="preserve">A Managing Agent Report is required for all quarterly and annual submissions. A Managing Agent Report template </w:t>
      </w:r>
      <w:r w:rsidR="00C96528">
        <w:t>is published on</w:t>
      </w:r>
      <w:r w:rsidRPr="00E81F3F">
        <w:t xml:space="preserve"> the Lloyd's </w:t>
      </w:r>
      <w:hyperlink r:id="rId23" w:history="1">
        <w:r w:rsidR="00904786" w:rsidRPr="00DC0342">
          <w:rPr>
            <w:rStyle w:val="Hyperlink"/>
          </w:rPr>
          <w:t>Solvency UK</w:t>
        </w:r>
      </w:hyperlink>
      <w:r w:rsidR="00904786">
        <w:t xml:space="preserve"> website</w:t>
      </w:r>
      <w:r w:rsidRPr="00E81F3F">
        <w:t xml:space="preserve">. </w:t>
      </w:r>
      <w:r w:rsidR="007003B6">
        <w:t>The managing agent report sign-off covers the XBRL submission into CoreFiling and the Supplementary Solvency Data.</w:t>
      </w:r>
    </w:p>
    <w:p w14:paraId="0E310146" w14:textId="2E308F7A" w:rsidR="00F419EC" w:rsidRDefault="00B9505E" w:rsidP="00F419EC">
      <w:pPr>
        <w:pStyle w:val="Heading2"/>
        <w:jc w:val="both"/>
      </w:pPr>
      <w:bookmarkStart w:id="123" w:name="_Toc213670941"/>
      <w:bookmarkStart w:id="124" w:name="_Toc213767694"/>
      <w:bookmarkStart w:id="125" w:name="_Toc213830711"/>
      <w:bookmarkStart w:id="126" w:name="_Toc214831171"/>
      <w:bookmarkStart w:id="127" w:name="_Toc213062443"/>
      <w:bookmarkStart w:id="128" w:name="_Toc213069791"/>
      <w:bookmarkStart w:id="129" w:name="_Toc213670942"/>
      <w:bookmarkStart w:id="130" w:name="_Toc213767695"/>
      <w:bookmarkStart w:id="131" w:name="_Toc213830712"/>
      <w:bookmarkStart w:id="132" w:name="_Toc214831172"/>
      <w:bookmarkStart w:id="133" w:name="_Toc199510586"/>
      <w:bookmarkStart w:id="134" w:name="_Toc225844981"/>
      <w:bookmarkEnd w:id="123"/>
      <w:bookmarkEnd w:id="124"/>
      <w:bookmarkEnd w:id="125"/>
      <w:bookmarkEnd w:id="126"/>
      <w:bookmarkEnd w:id="127"/>
      <w:bookmarkEnd w:id="128"/>
      <w:bookmarkEnd w:id="129"/>
      <w:bookmarkEnd w:id="130"/>
      <w:bookmarkEnd w:id="131"/>
      <w:bookmarkEnd w:id="132"/>
      <w:r>
        <w:t>Managing Agent Report</w:t>
      </w:r>
      <w:r w:rsidR="00F419EC">
        <w:t xml:space="preserve"> submission</w:t>
      </w:r>
      <w:bookmarkEnd w:id="133"/>
      <w:bookmarkEnd w:id="134"/>
    </w:p>
    <w:p w14:paraId="194DB47D" w14:textId="764C8CC0" w:rsidR="00247640" w:rsidRPr="00C608C8" w:rsidRDefault="00AF7D25" w:rsidP="00A10322">
      <w:pPr>
        <w:pStyle w:val="Bullet"/>
      </w:pPr>
      <w:r w:rsidRPr="00F3312B">
        <w:t xml:space="preserve">The completed </w:t>
      </w:r>
      <w:r w:rsidR="00B9505E">
        <w:t>Managing Agent Report</w:t>
      </w:r>
      <w:r w:rsidRPr="00F3312B">
        <w:t xml:space="preserve"> </w:t>
      </w:r>
      <w:r w:rsidR="00C17514" w:rsidRPr="00F3312B">
        <w:t>i</w:t>
      </w:r>
      <w:r w:rsidRPr="00F3312B">
        <w:t>s to be submitted to Lloyd</w:t>
      </w:r>
      <w:r w:rsidR="00B46CB7">
        <w:t>’</w:t>
      </w:r>
      <w:r w:rsidRPr="00F3312B">
        <w:t>s via</w:t>
      </w:r>
      <w:r w:rsidR="007F123F" w:rsidRPr="00F3312B">
        <w:t xml:space="preserve"> </w:t>
      </w:r>
      <w:r w:rsidRPr="00F3312B">
        <w:t xml:space="preserve">SecureShare </w:t>
      </w:r>
      <w:r w:rsidR="00247640">
        <w:t xml:space="preserve">on the same date as the data submission. </w:t>
      </w:r>
      <w:r w:rsidR="00247640" w:rsidRPr="002D4FF0">
        <w:t>The site name on SecureShare is “</w:t>
      </w:r>
      <w:r w:rsidR="00247640">
        <w:t>Solvency UK</w:t>
      </w:r>
      <w:r w:rsidR="00247640" w:rsidRPr="002D4FF0">
        <w:t>”</w:t>
      </w:r>
      <w:r w:rsidR="00247640">
        <w:t>.</w:t>
      </w:r>
      <w:r w:rsidR="00247640" w:rsidRPr="002D4FF0">
        <w:t xml:space="preserve"> </w:t>
      </w:r>
      <w:r w:rsidR="00247640">
        <w:t>Instructions on accessing SecureShare are included in section 3</w:t>
      </w:r>
      <w:r w:rsidR="00BA2E21">
        <w:t>.1.4</w:t>
      </w:r>
      <w:r w:rsidR="00247640">
        <w:t xml:space="preserve">. </w:t>
      </w:r>
    </w:p>
    <w:p w14:paraId="6BA83E99" w14:textId="77777777" w:rsidR="00E11169" w:rsidRDefault="00E11169" w:rsidP="00A10322">
      <w:pPr>
        <w:pStyle w:val="Bullet"/>
      </w:pPr>
      <w:r>
        <w:t xml:space="preserve">The naming convention for the Managing Agent Report must be: </w:t>
      </w:r>
    </w:p>
    <w:p w14:paraId="3737E588" w14:textId="354B7165" w:rsidR="00E45E76" w:rsidRDefault="00A636F8" w:rsidP="00F3312B">
      <w:pPr>
        <w:pStyle w:val="Bullet"/>
        <w:numPr>
          <w:ilvl w:val="0"/>
          <w:numId w:val="0"/>
        </w:numPr>
      </w:pPr>
      <w:r>
        <w:rPr>
          <w:b/>
        </w:rPr>
        <w:t xml:space="preserve">Annual Submission: </w:t>
      </w:r>
      <w:r w:rsidR="0039444C">
        <w:t>S</w:t>
      </w:r>
      <w:r w:rsidR="00E45E76">
        <w:t>yndicate number_SolvencyUKAnnual_YYYY_MA_Report</w:t>
      </w:r>
      <w:r w:rsidR="00CB5E41">
        <w:br/>
      </w:r>
      <w:r w:rsidR="00E45E76">
        <w:t>example</w:t>
      </w:r>
      <w:r w:rsidR="00CB5E41">
        <w:t>:</w:t>
      </w:r>
      <w:r w:rsidR="00E45E76">
        <w:t xml:space="preserve"> 9999_SolvencyUKAnnual_202</w:t>
      </w:r>
      <w:r w:rsidR="0641F535">
        <w:t>5</w:t>
      </w:r>
      <w:r w:rsidR="00E45E76">
        <w:t>_MA_Report</w:t>
      </w:r>
    </w:p>
    <w:p w14:paraId="766D6460" w14:textId="69EB914D" w:rsidR="00E45E76" w:rsidRDefault="004F17C6" w:rsidP="00F3312B">
      <w:pPr>
        <w:pStyle w:val="Bullet"/>
        <w:numPr>
          <w:ilvl w:val="0"/>
          <w:numId w:val="0"/>
        </w:numPr>
      </w:pPr>
      <w:r w:rsidRPr="00F3312B">
        <w:rPr>
          <w:b/>
        </w:rPr>
        <w:t xml:space="preserve">Quarterly Submission: </w:t>
      </w:r>
      <w:r w:rsidR="00E45E76">
        <w:t>Syndicate number_SolvencyUK_YYYYQQ_MA_Report</w:t>
      </w:r>
      <w:r>
        <w:br/>
      </w:r>
      <w:r w:rsidR="00E45E76">
        <w:t>example</w:t>
      </w:r>
      <w:r>
        <w:t xml:space="preserve">: </w:t>
      </w:r>
      <w:r w:rsidR="00E45E76">
        <w:t>9999_SolvencyUK_2025Q4_MA_Report</w:t>
      </w:r>
    </w:p>
    <w:p w14:paraId="79E4D85D" w14:textId="77777777" w:rsidR="00664010" w:rsidRDefault="00664010" w:rsidP="00F3312B">
      <w:pPr>
        <w:pStyle w:val="Bullet"/>
        <w:numPr>
          <w:ilvl w:val="0"/>
          <w:numId w:val="0"/>
        </w:numPr>
      </w:pPr>
    </w:p>
    <w:p w14:paraId="3DB6B4EE" w14:textId="77777777" w:rsidR="00664010" w:rsidRDefault="00664010" w:rsidP="00F3312B">
      <w:pPr>
        <w:pStyle w:val="Bullet"/>
        <w:numPr>
          <w:ilvl w:val="0"/>
          <w:numId w:val="0"/>
        </w:numPr>
      </w:pPr>
    </w:p>
    <w:p w14:paraId="09739CF6" w14:textId="77777777" w:rsidR="00664010" w:rsidRDefault="00664010" w:rsidP="00F3312B">
      <w:pPr>
        <w:pStyle w:val="Bullet"/>
        <w:numPr>
          <w:ilvl w:val="0"/>
          <w:numId w:val="0"/>
        </w:numPr>
      </w:pPr>
    </w:p>
    <w:p w14:paraId="450F8637" w14:textId="6D65DDF9" w:rsidR="00CD6673" w:rsidRDefault="00CD6673" w:rsidP="00CD6673">
      <w:pPr>
        <w:pStyle w:val="Heading1"/>
      </w:pPr>
      <w:bookmarkStart w:id="135" w:name="_Toc213062445"/>
      <w:bookmarkStart w:id="136" w:name="_Toc213069793"/>
      <w:bookmarkStart w:id="137" w:name="_Toc213670944"/>
      <w:bookmarkStart w:id="138" w:name="_Toc213767697"/>
      <w:bookmarkStart w:id="139" w:name="_Toc213830714"/>
      <w:bookmarkStart w:id="140" w:name="_Toc214831174"/>
      <w:bookmarkStart w:id="141" w:name="_Toc225844982"/>
      <w:bookmarkEnd w:id="135"/>
      <w:bookmarkEnd w:id="136"/>
      <w:bookmarkEnd w:id="137"/>
      <w:bookmarkEnd w:id="138"/>
      <w:bookmarkEnd w:id="139"/>
      <w:bookmarkEnd w:id="140"/>
      <w:r>
        <w:lastRenderedPageBreak/>
        <w:t>Audit</w:t>
      </w:r>
      <w:bookmarkEnd w:id="141"/>
    </w:p>
    <w:p w14:paraId="35CBF970" w14:textId="0C6161D8" w:rsidR="00CD6673" w:rsidRDefault="00F21C2D" w:rsidP="00CD6673">
      <w:pPr>
        <w:pStyle w:val="Heading2"/>
      </w:pPr>
      <w:bookmarkStart w:id="142" w:name="_Toc225844983"/>
      <w:r>
        <w:t>A</w:t>
      </w:r>
      <w:r w:rsidR="007B6C63">
        <w:t>udit requirements</w:t>
      </w:r>
      <w:bookmarkEnd w:id="142"/>
    </w:p>
    <w:p w14:paraId="02DFC9BB" w14:textId="33043315" w:rsidR="00012CEF" w:rsidRDefault="00CA79B2" w:rsidP="00012CEF">
      <w:pPr>
        <w:pStyle w:val="Bullet"/>
      </w:pPr>
      <w:r>
        <w:t xml:space="preserve">There are no audit requirements for </w:t>
      </w:r>
      <w:r w:rsidR="00855FDB">
        <w:t>the</w:t>
      </w:r>
      <w:r w:rsidR="00B913AE">
        <w:t xml:space="preserve"> </w:t>
      </w:r>
      <w:r w:rsidR="006F3574">
        <w:t>supplementary</w:t>
      </w:r>
      <w:r w:rsidR="00B913AE">
        <w:t xml:space="preserve"> solvency </w:t>
      </w:r>
      <w:r w:rsidR="006A5821">
        <w:t xml:space="preserve">data </w:t>
      </w:r>
      <w:r w:rsidR="00855FDB">
        <w:t>templates</w:t>
      </w:r>
      <w:r w:rsidR="008D7785">
        <w:t>.</w:t>
      </w:r>
    </w:p>
    <w:p w14:paraId="26107433" w14:textId="77777777" w:rsidR="00012CEF" w:rsidRDefault="00012CEF" w:rsidP="00012CEF">
      <w:pPr>
        <w:pStyle w:val="Bullet"/>
        <w:numPr>
          <w:ilvl w:val="0"/>
          <w:numId w:val="0"/>
        </w:numPr>
      </w:pPr>
    </w:p>
    <w:p w14:paraId="17EDCAC3" w14:textId="7D7AAE30" w:rsidR="00CD6673" w:rsidRPr="00CD6673" w:rsidRDefault="0012235D" w:rsidP="00CD6673">
      <w:pPr>
        <w:pStyle w:val="Heading1"/>
      </w:pPr>
      <w:bookmarkStart w:id="143" w:name="_Toc225844788"/>
      <w:bookmarkStart w:id="144" w:name="_Toc225844984"/>
      <w:bookmarkStart w:id="145" w:name="_Toc225844985"/>
      <w:bookmarkEnd w:id="143"/>
      <w:bookmarkEnd w:id="144"/>
      <w:r>
        <w:t>Additional Information</w:t>
      </w:r>
      <w:bookmarkEnd w:id="145"/>
    </w:p>
    <w:p w14:paraId="36C60801" w14:textId="0AF689DA" w:rsidR="00717F07" w:rsidRDefault="00A10322" w:rsidP="00717F07">
      <w:pPr>
        <w:pStyle w:val="Heading2"/>
        <w:tabs>
          <w:tab w:val="num" w:pos="1440"/>
        </w:tabs>
        <w:spacing w:after="120" w:line="240" w:lineRule="auto"/>
      </w:pPr>
      <w:bookmarkStart w:id="146" w:name="_Toc225844986"/>
      <w:r>
        <w:t>Open year profit release</w:t>
      </w:r>
      <w:bookmarkEnd w:id="146"/>
    </w:p>
    <w:p w14:paraId="01E054E6" w14:textId="156B5EC4" w:rsidR="00A10322" w:rsidRDefault="00A10322" w:rsidP="00A10322">
      <w:pPr>
        <w:pStyle w:val="Bullet"/>
        <w:numPr>
          <w:ilvl w:val="2"/>
          <w:numId w:val="10"/>
        </w:numPr>
        <w:rPr>
          <w:rFonts w:eastAsia="Segoe UI"/>
        </w:rPr>
      </w:pPr>
      <w:r w:rsidRPr="00A10322">
        <w:rPr>
          <w:rFonts w:eastAsia="Segoe UI"/>
        </w:rPr>
        <w:t xml:space="preserve">Where a syndicate is proposing to undertake an open year profit transfer, a separate template is required to be submitted. This template, along with instructions, is published on the Lloyd’s </w:t>
      </w:r>
      <w:hyperlink r:id="rId24" w:history="1">
        <w:r w:rsidRPr="00A10322">
          <w:rPr>
            <w:rStyle w:val="Hyperlink"/>
            <w:rFonts w:eastAsia="Segoe UI"/>
          </w:rPr>
          <w:t>Solvency UK</w:t>
        </w:r>
      </w:hyperlink>
      <w:r w:rsidRPr="00A10322">
        <w:rPr>
          <w:rFonts w:eastAsia="Segoe UI"/>
        </w:rPr>
        <w:t xml:space="preserve"> website. The template is submitted to Lloyd’s </w:t>
      </w:r>
      <w:r w:rsidR="00E44149" w:rsidRPr="00C17DD8">
        <w:t>via</w:t>
      </w:r>
      <w:r w:rsidR="00017558">
        <w:t xml:space="preserve"> </w:t>
      </w:r>
      <w:r w:rsidR="009156D7">
        <w:t xml:space="preserve">the </w:t>
      </w:r>
      <w:r w:rsidR="00017558">
        <w:t>Solvency UK</w:t>
      </w:r>
      <w:r w:rsidR="00E44149" w:rsidRPr="00C17DD8">
        <w:t xml:space="preserve"> SecureShare </w:t>
      </w:r>
      <w:r w:rsidR="009156D7">
        <w:t xml:space="preserve">site </w:t>
      </w:r>
      <w:r w:rsidRPr="00A10322">
        <w:rPr>
          <w:rFonts w:eastAsia="Segoe UI"/>
        </w:rPr>
        <w:t xml:space="preserve">on the </w:t>
      </w:r>
      <w:r w:rsidR="00712121">
        <w:rPr>
          <w:rFonts w:eastAsia="Segoe UI"/>
        </w:rPr>
        <w:t xml:space="preserve">quarterly/annual </w:t>
      </w:r>
      <w:r w:rsidRPr="00A10322">
        <w:rPr>
          <w:rFonts w:eastAsia="Segoe UI"/>
        </w:rPr>
        <w:t>submission dates</w:t>
      </w:r>
      <w:r w:rsidR="008F6B9F">
        <w:rPr>
          <w:rFonts w:eastAsia="Segoe UI"/>
        </w:rPr>
        <w:t>, as required</w:t>
      </w:r>
      <w:r w:rsidRPr="00A10322">
        <w:rPr>
          <w:rFonts w:eastAsia="Segoe UI"/>
        </w:rPr>
        <w:t>.</w:t>
      </w:r>
    </w:p>
    <w:p w14:paraId="24608FB2" w14:textId="5561258F" w:rsidR="000E19F9" w:rsidRPr="000E19F9" w:rsidRDefault="000457DF" w:rsidP="008F6B9F">
      <w:pPr>
        <w:pStyle w:val="Heading2"/>
        <w:tabs>
          <w:tab w:val="num" w:pos="1440"/>
        </w:tabs>
        <w:spacing w:after="120" w:line="240" w:lineRule="auto"/>
      </w:pPr>
      <w:bookmarkStart w:id="147" w:name="_Toc213830719"/>
      <w:bookmarkStart w:id="148" w:name="_Toc214831179"/>
      <w:bookmarkStart w:id="149" w:name="_Toc213830720"/>
      <w:bookmarkStart w:id="150" w:name="_Toc214831180"/>
      <w:bookmarkStart w:id="151" w:name="_Toc225844987"/>
      <w:bookmarkEnd w:id="147"/>
      <w:bookmarkEnd w:id="148"/>
      <w:bookmarkEnd w:id="149"/>
      <w:bookmarkEnd w:id="150"/>
      <w:r>
        <w:t>Timetable</w:t>
      </w:r>
      <w:bookmarkEnd w:id="151"/>
    </w:p>
    <w:p w14:paraId="662DD41F" w14:textId="6FBFD461" w:rsidR="00717F07" w:rsidRDefault="00BF4C69" w:rsidP="00A10322">
      <w:pPr>
        <w:pStyle w:val="Bullet"/>
        <w:numPr>
          <w:ilvl w:val="2"/>
          <w:numId w:val="10"/>
        </w:numPr>
      </w:pPr>
      <w:r>
        <w:t>Submissions</w:t>
      </w:r>
      <w:r w:rsidR="00717F07">
        <w:t xml:space="preserve"> and the accompanying Managing Agent Reports</w:t>
      </w:r>
      <w:r w:rsidR="00941F0E">
        <w:t>,</w:t>
      </w:r>
      <w:r w:rsidR="00717F07">
        <w:t xml:space="preserve"> must be received by Lloyd’s by 5pm on the submission date.</w:t>
      </w:r>
    </w:p>
    <w:tbl>
      <w:tblPr>
        <w:tblStyle w:val="TableGrid"/>
        <w:tblpPr w:leftFromText="180" w:rightFromText="180" w:vertAnchor="text" w:horzAnchor="margin" w:tblpY="144"/>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827"/>
        <w:gridCol w:w="3261"/>
      </w:tblGrid>
      <w:tr w:rsidR="000629B3" w14:paraId="11BD0551" w14:textId="77777777" w:rsidTr="000629B3">
        <w:trPr>
          <w:trHeight w:hRule="exact" w:val="20"/>
          <w:tblHeader/>
        </w:trPr>
        <w:tc>
          <w:tcPr>
            <w:tcW w:w="1843" w:type="dxa"/>
            <w:tcBorders>
              <w:top w:val="nil"/>
              <w:left w:val="nil"/>
              <w:bottom w:val="nil"/>
              <w:right w:val="nil"/>
            </w:tcBorders>
          </w:tcPr>
          <w:p w14:paraId="63DEA75E" w14:textId="77777777" w:rsidR="000629B3" w:rsidRDefault="000629B3">
            <w:pPr>
              <w:rPr>
                <w:sz w:val="2"/>
              </w:rPr>
            </w:pPr>
            <w:bookmarkStart w:id="152" w:name="_Toc199337001"/>
            <w:bookmarkStart w:id="153" w:name="_99818a4f_7a37_46b3_8666_008f84b80407"/>
            <w:bookmarkStart w:id="154" w:name="_6adba8be_20b8_47b8_af94_4ec563c2c81d"/>
            <w:bookmarkStart w:id="155" w:name="_Toc199510592"/>
            <w:bookmarkEnd w:id="152"/>
            <w:bookmarkEnd w:id="153"/>
          </w:p>
        </w:tc>
        <w:tc>
          <w:tcPr>
            <w:tcW w:w="3827" w:type="dxa"/>
            <w:tcBorders>
              <w:top w:val="nil"/>
              <w:left w:val="nil"/>
              <w:bottom w:val="nil"/>
              <w:right w:val="nil"/>
            </w:tcBorders>
          </w:tcPr>
          <w:p w14:paraId="6FC7BE20" w14:textId="77777777" w:rsidR="000629B3" w:rsidRDefault="000629B3">
            <w:pPr>
              <w:rPr>
                <w:sz w:val="2"/>
              </w:rPr>
            </w:pPr>
          </w:p>
        </w:tc>
        <w:tc>
          <w:tcPr>
            <w:tcW w:w="3261" w:type="dxa"/>
            <w:tcBorders>
              <w:top w:val="nil"/>
              <w:left w:val="nil"/>
              <w:bottom w:val="nil"/>
              <w:right w:val="nil"/>
            </w:tcBorders>
          </w:tcPr>
          <w:p w14:paraId="5CD5D0ED" w14:textId="77777777" w:rsidR="000629B3" w:rsidRDefault="000629B3">
            <w:pPr>
              <w:rPr>
                <w:sz w:val="2"/>
              </w:rPr>
            </w:pPr>
          </w:p>
        </w:tc>
      </w:tr>
      <w:tr w:rsidR="000629B3" w14:paraId="69549AC3" w14:textId="77777777" w:rsidTr="00F3312B">
        <w:trPr>
          <w:tblHeader/>
        </w:trPr>
        <w:tc>
          <w:tcPr>
            <w:tcW w:w="1843" w:type="dxa"/>
            <w:shd w:val="clear" w:color="auto" w:fill="F2F2F2" w:themeFill="background1" w:themeFillShade="F2"/>
          </w:tcPr>
          <w:p w14:paraId="1B81B983" w14:textId="77777777" w:rsidR="000629B3" w:rsidRDefault="000629B3" w:rsidP="00FD0F48">
            <w:pPr>
              <w:pStyle w:val="TableColumnHeading"/>
              <w:spacing w:after="120" w:line="240" w:lineRule="auto"/>
            </w:pPr>
            <w:r>
              <w:t>Reporting year</w:t>
            </w:r>
          </w:p>
        </w:tc>
        <w:tc>
          <w:tcPr>
            <w:tcW w:w="3827" w:type="dxa"/>
            <w:shd w:val="clear" w:color="auto" w:fill="F2F2F2" w:themeFill="background1" w:themeFillShade="F2"/>
          </w:tcPr>
          <w:p w14:paraId="5AB69C32" w14:textId="77777777" w:rsidR="000629B3" w:rsidRDefault="000629B3" w:rsidP="00FD0F48">
            <w:pPr>
              <w:pStyle w:val="TableColumnHeading"/>
              <w:spacing w:after="120" w:line="240" w:lineRule="auto"/>
            </w:pPr>
            <w:r>
              <w:t>Report</w:t>
            </w:r>
          </w:p>
        </w:tc>
        <w:tc>
          <w:tcPr>
            <w:tcW w:w="3261" w:type="dxa"/>
            <w:shd w:val="clear" w:color="auto" w:fill="F2F2F2" w:themeFill="background1" w:themeFillShade="F2"/>
          </w:tcPr>
          <w:p w14:paraId="2A93208D" w14:textId="77777777" w:rsidR="000629B3" w:rsidRDefault="000629B3" w:rsidP="00FD0F48">
            <w:pPr>
              <w:pStyle w:val="TableColumnHeading"/>
              <w:spacing w:after="120" w:line="240" w:lineRule="auto"/>
            </w:pPr>
            <w:r>
              <w:t>Submission date</w:t>
            </w:r>
          </w:p>
        </w:tc>
      </w:tr>
      <w:tr w:rsidR="000629B3" w:rsidRPr="00DF6DD9" w14:paraId="0DBACD1A" w14:textId="77777777" w:rsidTr="000629B3">
        <w:trPr>
          <w:trHeight w:val="18"/>
        </w:trPr>
        <w:tc>
          <w:tcPr>
            <w:tcW w:w="1843" w:type="dxa"/>
          </w:tcPr>
          <w:p w14:paraId="26C85194" w14:textId="01DE80F5" w:rsidR="000629B3" w:rsidRDefault="000629B3" w:rsidP="000629B3">
            <w:pPr>
              <w:pStyle w:val="TableColumnHeading"/>
              <w:spacing w:after="120" w:line="240" w:lineRule="auto"/>
              <w:rPr>
                <w:b w:val="0"/>
                <w:bCs/>
              </w:rPr>
            </w:pPr>
            <w:r>
              <w:rPr>
                <w:b w:val="0"/>
                <w:bCs/>
              </w:rPr>
              <w:t>Q1 2026</w:t>
            </w:r>
          </w:p>
        </w:tc>
        <w:tc>
          <w:tcPr>
            <w:tcW w:w="3827" w:type="dxa"/>
          </w:tcPr>
          <w:p w14:paraId="6DEE69F6" w14:textId="1F94E31B" w:rsidR="000629B3" w:rsidRDefault="002F6F96" w:rsidP="000629B3">
            <w:pPr>
              <w:pStyle w:val="TableColumnHeading"/>
              <w:spacing w:after="120" w:line="240" w:lineRule="auto"/>
              <w:rPr>
                <w:b w:val="0"/>
                <w:bCs/>
              </w:rPr>
            </w:pPr>
            <w:r>
              <w:rPr>
                <w:b w:val="0"/>
                <w:bCs/>
              </w:rPr>
              <w:t xml:space="preserve">Supplementary </w:t>
            </w:r>
            <w:r w:rsidR="000629B3">
              <w:rPr>
                <w:b w:val="0"/>
                <w:bCs/>
              </w:rPr>
              <w:t>Solvency Data – Quarterly</w:t>
            </w:r>
          </w:p>
        </w:tc>
        <w:tc>
          <w:tcPr>
            <w:tcW w:w="3261" w:type="dxa"/>
          </w:tcPr>
          <w:p w14:paraId="6E640258" w14:textId="71853A45" w:rsidR="000629B3" w:rsidRPr="00E9391F" w:rsidRDefault="00E9391F" w:rsidP="000629B3">
            <w:pPr>
              <w:pStyle w:val="TableColumnHeading"/>
              <w:spacing w:after="120" w:line="240" w:lineRule="auto"/>
              <w:rPr>
                <w:b w:val="0"/>
                <w:bCs/>
              </w:rPr>
            </w:pPr>
            <w:r w:rsidRPr="00E9391F">
              <w:rPr>
                <w:b w:val="0"/>
                <w:bCs/>
              </w:rPr>
              <w:t>30/04/2026</w:t>
            </w:r>
          </w:p>
        </w:tc>
      </w:tr>
      <w:tr w:rsidR="000629B3" w:rsidRPr="00DF6DD9" w14:paraId="00D6F9B9" w14:textId="77777777" w:rsidTr="000629B3">
        <w:trPr>
          <w:trHeight w:val="18"/>
        </w:trPr>
        <w:tc>
          <w:tcPr>
            <w:tcW w:w="1843" w:type="dxa"/>
          </w:tcPr>
          <w:p w14:paraId="25406AD6" w14:textId="03DF3CDA" w:rsidR="000629B3" w:rsidRDefault="000629B3" w:rsidP="000629B3">
            <w:pPr>
              <w:pStyle w:val="TableColumnHeading"/>
              <w:spacing w:after="120" w:line="240" w:lineRule="auto"/>
              <w:rPr>
                <w:b w:val="0"/>
                <w:bCs/>
              </w:rPr>
            </w:pPr>
            <w:r>
              <w:rPr>
                <w:b w:val="0"/>
                <w:bCs/>
              </w:rPr>
              <w:t>Q2 2026</w:t>
            </w:r>
          </w:p>
        </w:tc>
        <w:tc>
          <w:tcPr>
            <w:tcW w:w="3827" w:type="dxa"/>
          </w:tcPr>
          <w:p w14:paraId="334F4B6A" w14:textId="2DD95767" w:rsidR="000629B3" w:rsidRDefault="002F6F96" w:rsidP="000629B3">
            <w:pPr>
              <w:pStyle w:val="TableColumnHeading"/>
              <w:spacing w:after="120" w:line="240" w:lineRule="auto"/>
              <w:rPr>
                <w:b w:val="0"/>
                <w:bCs/>
              </w:rPr>
            </w:pPr>
            <w:r>
              <w:rPr>
                <w:b w:val="0"/>
                <w:bCs/>
              </w:rPr>
              <w:t xml:space="preserve">Supplementary </w:t>
            </w:r>
            <w:r w:rsidR="000629B3">
              <w:rPr>
                <w:b w:val="0"/>
                <w:bCs/>
              </w:rPr>
              <w:t>Solvency Data – Quarterly</w:t>
            </w:r>
          </w:p>
        </w:tc>
        <w:tc>
          <w:tcPr>
            <w:tcW w:w="3261" w:type="dxa"/>
          </w:tcPr>
          <w:p w14:paraId="040CF9C7" w14:textId="53B97EFE" w:rsidR="000629B3" w:rsidRPr="00E9391F" w:rsidRDefault="00E9391F" w:rsidP="000629B3">
            <w:pPr>
              <w:pStyle w:val="TableColumnHeading"/>
              <w:spacing w:after="120" w:line="240" w:lineRule="auto"/>
              <w:rPr>
                <w:b w:val="0"/>
                <w:bCs/>
              </w:rPr>
            </w:pPr>
            <w:r w:rsidRPr="00E9391F">
              <w:rPr>
                <w:b w:val="0"/>
                <w:bCs/>
              </w:rPr>
              <w:t>28/07/2026</w:t>
            </w:r>
          </w:p>
        </w:tc>
      </w:tr>
      <w:tr w:rsidR="000629B3" w:rsidRPr="00DF6DD9" w14:paraId="36B0DBCE" w14:textId="77777777" w:rsidTr="000629B3">
        <w:trPr>
          <w:trHeight w:val="18"/>
        </w:trPr>
        <w:tc>
          <w:tcPr>
            <w:tcW w:w="1843" w:type="dxa"/>
          </w:tcPr>
          <w:p w14:paraId="1B8E00A1" w14:textId="4ABF4DAA" w:rsidR="000629B3" w:rsidRDefault="000629B3" w:rsidP="000629B3">
            <w:pPr>
              <w:pStyle w:val="TableColumnHeading"/>
              <w:spacing w:after="120" w:line="240" w:lineRule="auto"/>
              <w:rPr>
                <w:b w:val="0"/>
                <w:bCs/>
              </w:rPr>
            </w:pPr>
            <w:r>
              <w:rPr>
                <w:b w:val="0"/>
                <w:bCs/>
              </w:rPr>
              <w:t>Q3 2026</w:t>
            </w:r>
          </w:p>
        </w:tc>
        <w:tc>
          <w:tcPr>
            <w:tcW w:w="3827" w:type="dxa"/>
          </w:tcPr>
          <w:p w14:paraId="31BACF2B" w14:textId="05FAE709" w:rsidR="000629B3" w:rsidRDefault="002F6F96" w:rsidP="000629B3">
            <w:pPr>
              <w:pStyle w:val="TableColumnHeading"/>
              <w:spacing w:after="120" w:line="240" w:lineRule="auto"/>
              <w:rPr>
                <w:b w:val="0"/>
                <w:bCs/>
              </w:rPr>
            </w:pPr>
            <w:r>
              <w:rPr>
                <w:b w:val="0"/>
                <w:bCs/>
              </w:rPr>
              <w:t xml:space="preserve">Supplementary </w:t>
            </w:r>
            <w:r w:rsidR="000629B3">
              <w:rPr>
                <w:b w:val="0"/>
                <w:bCs/>
              </w:rPr>
              <w:t>Solvency Data – Quarterly</w:t>
            </w:r>
          </w:p>
        </w:tc>
        <w:tc>
          <w:tcPr>
            <w:tcW w:w="3261" w:type="dxa"/>
          </w:tcPr>
          <w:p w14:paraId="66AA84AD" w14:textId="2ABAE3DE" w:rsidR="000629B3" w:rsidRPr="00E9391F" w:rsidRDefault="00E9391F" w:rsidP="000629B3">
            <w:pPr>
              <w:pStyle w:val="TableColumnHeading"/>
              <w:spacing w:after="120" w:line="240" w:lineRule="auto"/>
              <w:rPr>
                <w:b w:val="0"/>
                <w:bCs/>
              </w:rPr>
            </w:pPr>
            <w:r w:rsidRPr="00E9391F">
              <w:rPr>
                <w:b w:val="0"/>
                <w:bCs/>
              </w:rPr>
              <w:t>28/10/</w:t>
            </w:r>
            <w:r w:rsidR="002D17D7">
              <w:rPr>
                <w:b w:val="0"/>
                <w:bCs/>
              </w:rPr>
              <w:t>20</w:t>
            </w:r>
            <w:r w:rsidRPr="00E9391F">
              <w:rPr>
                <w:b w:val="0"/>
                <w:bCs/>
              </w:rPr>
              <w:t>26</w:t>
            </w:r>
          </w:p>
        </w:tc>
      </w:tr>
      <w:tr w:rsidR="2BF22DE0" w14:paraId="685ADC56" w14:textId="77777777" w:rsidTr="2BF22DE0">
        <w:trPr>
          <w:trHeight w:val="18"/>
        </w:trPr>
        <w:tc>
          <w:tcPr>
            <w:tcW w:w="1843" w:type="dxa"/>
          </w:tcPr>
          <w:p w14:paraId="3FFE7B9B" w14:textId="7025C14E" w:rsidR="292DCC2E" w:rsidRDefault="292DCC2E" w:rsidP="001B36ED">
            <w:pPr>
              <w:pStyle w:val="TableColumnHeading"/>
              <w:spacing w:line="240" w:lineRule="auto"/>
            </w:pPr>
            <w:r>
              <w:rPr>
                <w:b w:val="0"/>
              </w:rPr>
              <w:t>Q4 2026</w:t>
            </w:r>
          </w:p>
        </w:tc>
        <w:tc>
          <w:tcPr>
            <w:tcW w:w="3827" w:type="dxa"/>
          </w:tcPr>
          <w:p w14:paraId="31DAB455" w14:textId="63642152" w:rsidR="292DCC2E" w:rsidRDefault="292DCC2E" w:rsidP="2BF22DE0">
            <w:pPr>
              <w:pStyle w:val="TableColumnHeading"/>
              <w:spacing w:after="120" w:line="240" w:lineRule="auto"/>
              <w:rPr>
                <w:b w:val="0"/>
              </w:rPr>
            </w:pPr>
            <w:r>
              <w:rPr>
                <w:b w:val="0"/>
              </w:rPr>
              <w:t>Supplementary Solvency Data – Quarterly</w:t>
            </w:r>
          </w:p>
        </w:tc>
        <w:tc>
          <w:tcPr>
            <w:tcW w:w="3261" w:type="dxa"/>
          </w:tcPr>
          <w:p w14:paraId="72919B0F" w14:textId="27F7F851" w:rsidR="292DCC2E" w:rsidRDefault="292DCC2E" w:rsidP="001B36ED">
            <w:pPr>
              <w:pStyle w:val="TableColumnHeading"/>
              <w:spacing w:line="240" w:lineRule="auto"/>
            </w:pPr>
            <w:r>
              <w:rPr>
                <w:b w:val="0"/>
              </w:rPr>
              <w:t>TBC</w:t>
            </w:r>
          </w:p>
        </w:tc>
      </w:tr>
    </w:tbl>
    <w:p w14:paraId="44A53A20" w14:textId="24775752" w:rsidR="00717F07" w:rsidRDefault="00717F07" w:rsidP="00717F07">
      <w:pPr>
        <w:pStyle w:val="Heading2"/>
      </w:pPr>
      <w:bookmarkStart w:id="156" w:name="_Toc213670950"/>
      <w:bookmarkStart w:id="157" w:name="_Toc213767703"/>
      <w:bookmarkStart w:id="158" w:name="_Toc213830722"/>
      <w:bookmarkStart w:id="159" w:name="_Toc214831182"/>
      <w:bookmarkStart w:id="160" w:name="_Toc225844988"/>
      <w:bookmarkEnd w:id="154"/>
      <w:bookmarkEnd w:id="156"/>
      <w:bookmarkEnd w:id="157"/>
      <w:bookmarkEnd w:id="158"/>
      <w:bookmarkEnd w:id="159"/>
      <w:r>
        <w:t>Late submissions</w:t>
      </w:r>
      <w:bookmarkEnd w:id="155"/>
      <w:bookmarkEnd w:id="160"/>
    </w:p>
    <w:p w14:paraId="11B3B5D2" w14:textId="3B5497C7" w:rsidR="00717F07" w:rsidRDefault="00717F07" w:rsidP="00A10322">
      <w:pPr>
        <w:pStyle w:val="Bullet"/>
        <w:numPr>
          <w:ilvl w:val="2"/>
          <w:numId w:val="10"/>
        </w:numPr>
      </w:pPr>
      <w:r w:rsidRPr="00E364B3">
        <w:t xml:space="preserve">Failure to submit </w:t>
      </w:r>
      <w:r w:rsidR="002F6F96">
        <w:t xml:space="preserve">supplementary </w:t>
      </w:r>
      <w:r w:rsidR="008E0ABC">
        <w:t>solvency data</w:t>
      </w:r>
      <w:r w:rsidRPr="00E364B3">
        <w:t xml:space="preserve"> by the due deadline will be considered a breach of the Underwriting</w:t>
      </w:r>
      <w:r w:rsidRPr="00A10322">
        <w:rPr>
          <w:spacing w:val="-9"/>
        </w:rPr>
        <w:t xml:space="preserve"> </w:t>
      </w:r>
      <w:r w:rsidRPr="00E364B3">
        <w:t>Byelaw</w:t>
      </w:r>
      <w:r w:rsidRPr="00A10322">
        <w:rPr>
          <w:spacing w:val="-12"/>
        </w:rPr>
        <w:t xml:space="preserve"> </w:t>
      </w:r>
      <w:r w:rsidRPr="00E364B3">
        <w:t>(No.</w:t>
      </w:r>
      <w:r w:rsidRPr="00A10322">
        <w:rPr>
          <w:spacing w:val="-8"/>
        </w:rPr>
        <w:t xml:space="preserve"> </w:t>
      </w:r>
      <w:r w:rsidRPr="00E364B3">
        <w:t>2</w:t>
      </w:r>
      <w:r w:rsidRPr="00A10322">
        <w:rPr>
          <w:spacing w:val="-11"/>
        </w:rPr>
        <w:t xml:space="preserve"> </w:t>
      </w:r>
      <w:r w:rsidRPr="00E364B3">
        <w:t>of</w:t>
      </w:r>
      <w:r w:rsidRPr="00A10322">
        <w:rPr>
          <w:spacing w:val="-10"/>
        </w:rPr>
        <w:t xml:space="preserve"> </w:t>
      </w:r>
      <w:r w:rsidRPr="00E364B3">
        <w:t>2003)</w:t>
      </w:r>
      <w:r w:rsidRPr="00A10322">
        <w:rPr>
          <w:spacing w:val="-9"/>
        </w:rPr>
        <w:t xml:space="preserve"> </w:t>
      </w:r>
      <w:r w:rsidRPr="00E364B3">
        <w:t>and</w:t>
      </w:r>
      <w:r w:rsidRPr="00A10322">
        <w:rPr>
          <w:spacing w:val="-14"/>
        </w:rPr>
        <w:t xml:space="preserve"> </w:t>
      </w:r>
      <w:r w:rsidRPr="00E364B3">
        <w:t>may</w:t>
      </w:r>
      <w:r w:rsidRPr="00A10322">
        <w:rPr>
          <w:spacing w:val="-14"/>
        </w:rPr>
        <w:t xml:space="preserve"> </w:t>
      </w:r>
      <w:r w:rsidRPr="00E364B3">
        <w:t>therefore</w:t>
      </w:r>
      <w:r w:rsidRPr="00A10322">
        <w:rPr>
          <w:spacing w:val="-11"/>
        </w:rPr>
        <w:t xml:space="preserve"> </w:t>
      </w:r>
      <w:r w:rsidRPr="00E364B3">
        <w:t>result</w:t>
      </w:r>
      <w:r w:rsidRPr="00A10322">
        <w:rPr>
          <w:spacing w:val="-10"/>
        </w:rPr>
        <w:t xml:space="preserve"> </w:t>
      </w:r>
      <w:r w:rsidRPr="00E364B3">
        <w:t>in</w:t>
      </w:r>
      <w:r w:rsidRPr="00A10322">
        <w:rPr>
          <w:spacing w:val="-9"/>
        </w:rPr>
        <w:t xml:space="preserve"> </w:t>
      </w:r>
      <w:r w:rsidRPr="00E364B3">
        <w:t>a</w:t>
      </w:r>
      <w:r w:rsidRPr="00A10322">
        <w:rPr>
          <w:spacing w:val="-14"/>
        </w:rPr>
        <w:t xml:space="preserve"> </w:t>
      </w:r>
      <w:r w:rsidRPr="00E364B3">
        <w:t>fine</w:t>
      </w:r>
      <w:r w:rsidRPr="00A10322">
        <w:rPr>
          <w:spacing w:val="-9"/>
        </w:rPr>
        <w:t xml:space="preserve"> </w:t>
      </w:r>
      <w:r w:rsidRPr="00E364B3">
        <w:t>being</w:t>
      </w:r>
      <w:r w:rsidRPr="00A10322">
        <w:rPr>
          <w:spacing w:val="-9"/>
        </w:rPr>
        <w:t xml:space="preserve"> </w:t>
      </w:r>
      <w:r w:rsidRPr="00E364B3">
        <w:t>imposed.</w:t>
      </w:r>
      <w:r w:rsidRPr="00A10322">
        <w:rPr>
          <w:spacing w:val="-10"/>
        </w:rPr>
        <w:t xml:space="preserve"> </w:t>
      </w:r>
      <w:r w:rsidRPr="00E364B3">
        <w:t>The</w:t>
      </w:r>
      <w:r w:rsidRPr="00A10322">
        <w:rPr>
          <w:spacing w:val="-11"/>
        </w:rPr>
        <w:t xml:space="preserve"> </w:t>
      </w:r>
      <w:r w:rsidRPr="00E364B3">
        <w:t>policy for imposing fines is outlined in market bulletin Y5265.</w:t>
      </w:r>
    </w:p>
    <w:p w14:paraId="3652E4C0" w14:textId="374F92BF" w:rsidR="00717F07" w:rsidRDefault="00717F07" w:rsidP="00A10322">
      <w:pPr>
        <w:pStyle w:val="Bullet"/>
        <w:numPr>
          <w:ilvl w:val="2"/>
          <w:numId w:val="10"/>
        </w:numPr>
      </w:pPr>
      <w:r w:rsidRPr="00E364B3">
        <w:t>Further, the timeliness and quality of</w:t>
      </w:r>
      <w:r w:rsidR="00AC0B88">
        <w:t xml:space="preserve"> </w:t>
      </w:r>
      <w:r w:rsidR="00C50201">
        <w:t xml:space="preserve">supplementary </w:t>
      </w:r>
      <w:r w:rsidR="00AC0B88">
        <w:t>solvency data</w:t>
      </w:r>
      <w:r w:rsidRPr="00E364B3">
        <w:t xml:space="preserve"> will be considered as part of the assessment of the Managing Agent’s capability and performance under Principle 10 (Governance, Risk Management and Reporting) of the principles for doing business at Lloyd’s.</w:t>
      </w:r>
    </w:p>
    <w:p w14:paraId="251E5AB7" w14:textId="0487FEB3" w:rsidR="00717F07" w:rsidRPr="00E364B3" w:rsidRDefault="00717F07" w:rsidP="00A10322">
      <w:pPr>
        <w:pStyle w:val="Bullet"/>
        <w:numPr>
          <w:ilvl w:val="2"/>
          <w:numId w:val="10"/>
        </w:numPr>
      </w:pPr>
      <w:r w:rsidRPr="00E364B3">
        <w:t>Where</w:t>
      </w:r>
      <w:r w:rsidRPr="00A10322">
        <w:rPr>
          <w:spacing w:val="-3"/>
        </w:rPr>
        <w:t xml:space="preserve"> </w:t>
      </w:r>
      <w:r w:rsidRPr="00E364B3">
        <w:t>a</w:t>
      </w:r>
      <w:r w:rsidRPr="00A10322">
        <w:rPr>
          <w:spacing w:val="-3"/>
        </w:rPr>
        <w:t xml:space="preserve"> </w:t>
      </w:r>
      <w:r w:rsidRPr="00E364B3">
        <w:t>managing</w:t>
      </w:r>
      <w:r w:rsidRPr="00A10322">
        <w:rPr>
          <w:spacing w:val="-3"/>
        </w:rPr>
        <w:t xml:space="preserve"> </w:t>
      </w:r>
      <w:r w:rsidRPr="00E364B3">
        <w:t>agent has</w:t>
      </w:r>
      <w:r w:rsidRPr="00A10322">
        <w:rPr>
          <w:spacing w:val="-5"/>
        </w:rPr>
        <w:t xml:space="preserve"> </w:t>
      </w:r>
      <w:r w:rsidRPr="000F69C6">
        <w:t>reason</w:t>
      </w:r>
      <w:r w:rsidRPr="00A10322">
        <w:rPr>
          <w:spacing w:val="-3"/>
        </w:rPr>
        <w:t xml:space="preserve"> </w:t>
      </w:r>
      <w:r w:rsidRPr="000F69C6">
        <w:t>to</w:t>
      </w:r>
      <w:r w:rsidRPr="00A10322">
        <w:rPr>
          <w:spacing w:val="-3"/>
        </w:rPr>
        <w:t xml:space="preserve"> </w:t>
      </w:r>
      <w:r w:rsidRPr="000F69C6">
        <w:t>believe</w:t>
      </w:r>
      <w:r w:rsidRPr="00A10322">
        <w:rPr>
          <w:spacing w:val="-3"/>
        </w:rPr>
        <w:t xml:space="preserve"> </w:t>
      </w:r>
      <w:r w:rsidRPr="000F69C6">
        <w:t>that</w:t>
      </w:r>
      <w:r w:rsidRPr="00A10322">
        <w:rPr>
          <w:spacing w:val="-2"/>
        </w:rPr>
        <w:t xml:space="preserve"> </w:t>
      </w:r>
      <w:r w:rsidRPr="000F69C6">
        <w:t>they</w:t>
      </w:r>
      <w:r w:rsidRPr="00A10322">
        <w:rPr>
          <w:spacing w:val="-3"/>
        </w:rPr>
        <w:t xml:space="preserve"> </w:t>
      </w:r>
      <w:r w:rsidRPr="000F69C6">
        <w:t>may be</w:t>
      </w:r>
      <w:r w:rsidRPr="00A10322">
        <w:rPr>
          <w:spacing w:val="-3"/>
        </w:rPr>
        <w:t xml:space="preserve"> </w:t>
      </w:r>
      <w:r w:rsidRPr="000F69C6">
        <w:t>unable</w:t>
      </w:r>
      <w:r w:rsidRPr="00A10322">
        <w:rPr>
          <w:spacing w:val="-3"/>
        </w:rPr>
        <w:t xml:space="preserve"> </w:t>
      </w:r>
      <w:r w:rsidRPr="000F69C6">
        <w:t>to</w:t>
      </w:r>
      <w:r w:rsidRPr="00A10322">
        <w:rPr>
          <w:spacing w:val="-3"/>
        </w:rPr>
        <w:t xml:space="preserve"> </w:t>
      </w:r>
      <w:r w:rsidRPr="000F69C6">
        <w:t>submit on</w:t>
      </w:r>
      <w:r w:rsidRPr="00A10322">
        <w:rPr>
          <w:spacing w:val="-3"/>
        </w:rPr>
        <w:t xml:space="preserve"> </w:t>
      </w:r>
      <w:r w:rsidRPr="000F69C6">
        <w:t>time,</w:t>
      </w:r>
      <w:r w:rsidRPr="00A10322">
        <w:rPr>
          <w:spacing w:val="-2"/>
        </w:rPr>
        <w:t xml:space="preserve"> </w:t>
      </w:r>
      <w:r w:rsidRPr="000F69C6">
        <w:t>they are</w:t>
      </w:r>
      <w:r w:rsidRPr="00A10322">
        <w:rPr>
          <w:spacing w:val="-1"/>
        </w:rPr>
        <w:t xml:space="preserve"> </w:t>
      </w:r>
      <w:r w:rsidRPr="000F69C6">
        <w:t>expected</w:t>
      </w:r>
      <w:r w:rsidRPr="00A10322">
        <w:rPr>
          <w:spacing w:val="-7"/>
        </w:rPr>
        <w:t xml:space="preserve"> </w:t>
      </w:r>
      <w:r w:rsidRPr="000F69C6">
        <w:t>to</w:t>
      </w:r>
      <w:r w:rsidRPr="00A10322">
        <w:rPr>
          <w:spacing w:val="-2"/>
        </w:rPr>
        <w:t xml:space="preserve"> </w:t>
      </w:r>
      <w:r w:rsidRPr="000F69C6">
        <w:t>contact</w:t>
      </w:r>
      <w:r w:rsidRPr="00A10322">
        <w:rPr>
          <w:spacing w:val="-5"/>
        </w:rPr>
        <w:t xml:space="preserve"> </w:t>
      </w:r>
      <w:r w:rsidRPr="000F69C6">
        <w:t>Central</w:t>
      </w:r>
      <w:r w:rsidRPr="00A10322">
        <w:rPr>
          <w:spacing w:val="-3"/>
        </w:rPr>
        <w:t xml:space="preserve"> </w:t>
      </w:r>
      <w:r w:rsidRPr="000F69C6">
        <w:t>Finance</w:t>
      </w:r>
      <w:r w:rsidRPr="00A10322">
        <w:rPr>
          <w:spacing w:val="-4"/>
        </w:rPr>
        <w:t xml:space="preserve"> </w:t>
      </w:r>
      <w:r w:rsidRPr="00A10322">
        <w:rPr>
          <w:color w:val="000000"/>
        </w:rPr>
        <w:t>at</w:t>
      </w:r>
      <w:r w:rsidRPr="000F69C6">
        <w:t xml:space="preserve"> </w:t>
      </w:r>
      <w:hyperlink r:id="rId25" w:history="1">
        <w:r w:rsidR="008F5056" w:rsidRPr="00267981">
          <w:rPr>
            <w:rStyle w:val="Hyperlink"/>
          </w:rPr>
          <w:t>Lloyds-SolvencyReturns@lloyds.com</w:t>
        </w:r>
      </w:hyperlink>
      <w:r w:rsidR="001D1343">
        <w:t xml:space="preserve"> </w:t>
      </w:r>
      <w:r w:rsidRPr="00A10322">
        <w:rPr>
          <w:spacing w:val="-5"/>
        </w:rPr>
        <w:t xml:space="preserve">at </w:t>
      </w:r>
      <w:r w:rsidRPr="000F69C6">
        <w:t>the</w:t>
      </w:r>
      <w:r w:rsidRPr="00A10322">
        <w:rPr>
          <w:spacing w:val="-4"/>
        </w:rPr>
        <w:t xml:space="preserve"> </w:t>
      </w:r>
      <w:r w:rsidRPr="00E364B3">
        <w:t>earliest</w:t>
      </w:r>
      <w:r w:rsidRPr="00A10322">
        <w:rPr>
          <w:spacing w:val="-1"/>
        </w:rPr>
        <w:t xml:space="preserve"> </w:t>
      </w:r>
      <w:r w:rsidRPr="00E364B3">
        <w:t>opportunity</w:t>
      </w:r>
      <w:r w:rsidRPr="00A10322">
        <w:rPr>
          <w:spacing w:val="-1"/>
        </w:rPr>
        <w:t xml:space="preserve"> </w:t>
      </w:r>
      <w:r w:rsidRPr="00E364B3">
        <w:t>in</w:t>
      </w:r>
      <w:r w:rsidRPr="00A10322">
        <w:rPr>
          <w:spacing w:val="-4"/>
        </w:rPr>
        <w:t xml:space="preserve"> </w:t>
      </w:r>
      <w:r w:rsidRPr="00E364B3">
        <w:t>advance</w:t>
      </w:r>
      <w:r w:rsidRPr="00A10322">
        <w:rPr>
          <w:spacing w:val="-2"/>
        </w:rPr>
        <w:t xml:space="preserve"> </w:t>
      </w:r>
      <w:r w:rsidRPr="00E364B3">
        <w:t>of</w:t>
      </w:r>
      <w:r w:rsidRPr="00A10322">
        <w:rPr>
          <w:spacing w:val="-3"/>
        </w:rPr>
        <w:t xml:space="preserve"> </w:t>
      </w:r>
      <w:r w:rsidRPr="00E364B3">
        <w:t>the</w:t>
      </w:r>
      <w:r w:rsidRPr="00A10322">
        <w:rPr>
          <w:spacing w:val="-4"/>
        </w:rPr>
        <w:t xml:space="preserve"> </w:t>
      </w:r>
      <w:r w:rsidRPr="00E364B3">
        <w:t>deadline</w:t>
      </w:r>
      <w:r w:rsidRPr="00A10322">
        <w:rPr>
          <w:spacing w:val="-2"/>
        </w:rPr>
        <w:t xml:space="preserve"> </w:t>
      </w:r>
      <w:r w:rsidRPr="00E364B3">
        <w:t>to discuss the matter.</w:t>
      </w:r>
    </w:p>
    <w:p w14:paraId="188AE477" w14:textId="77777777" w:rsidR="00717F07" w:rsidRDefault="00717F07" w:rsidP="00717F07">
      <w:pPr>
        <w:pStyle w:val="Heading2"/>
        <w:spacing w:after="120" w:line="240" w:lineRule="auto"/>
      </w:pPr>
      <w:bookmarkStart w:id="161" w:name="_Toc199510593"/>
      <w:bookmarkStart w:id="162" w:name="_Toc225844989"/>
      <w:r>
        <w:t>Key contacts</w:t>
      </w:r>
      <w:bookmarkEnd w:id="161"/>
      <w:bookmarkEnd w:id="162"/>
    </w:p>
    <w:p w14:paraId="236B75BC" w14:textId="7042CCA6" w:rsidR="00717F07" w:rsidRDefault="00717F07" w:rsidP="00A10322">
      <w:pPr>
        <w:pStyle w:val="Bullet"/>
        <w:numPr>
          <w:ilvl w:val="2"/>
          <w:numId w:val="10"/>
        </w:numPr>
      </w:pPr>
      <w:r>
        <w:t xml:space="preserve">Any queries about the process and submission of the </w:t>
      </w:r>
      <w:r w:rsidR="00C50201">
        <w:t xml:space="preserve">supplementary </w:t>
      </w:r>
      <w:r w:rsidR="00AC0B88">
        <w:t>solvency data</w:t>
      </w:r>
      <w:r>
        <w:t xml:space="preserve"> should be directed by e-mail to Central Finance at </w:t>
      </w:r>
      <w:hyperlink r:id="rId26" w:history="1">
        <w:r w:rsidR="008F5056" w:rsidRPr="00267981">
          <w:rPr>
            <w:rStyle w:val="Hyperlink"/>
          </w:rPr>
          <w:t>Lloyds-SolvencyReturns@lloyds.com</w:t>
        </w:r>
      </w:hyperlink>
      <w:r>
        <w:t xml:space="preserve">. </w:t>
      </w:r>
      <w:r w:rsidRPr="00A54308">
        <w:t>All queries will be responded to in a timely manner.</w:t>
      </w:r>
    </w:p>
    <w:p w14:paraId="42CB50B6" w14:textId="77777777" w:rsidR="00664010" w:rsidRDefault="00664010" w:rsidP="00664010">
      <w:pPr>
        <w:pStyle w:val="Heading2"/>
        <w:numPr>
          <w:ilvl w:val="0"/>
          <w:numId w:val="0"/>
        </w:numPr>
      </w:pPr>
    </w:p>
    <w:p w14:paraId="464C8E52" w14:textId="77777777" w:rsidR="00664010" w:rsidRDefault="00664010" w:rsidP="00664010">
      <w:pPr>
        <w:pStyle w:val="Heading2"/>
        <w:numPr>
          <w:ilvl w:val="0"/>
          <w:numId w:val="0"/>
        </w:numPr>
      </w:pPr>
    </w:p>
    <w:p w14:paraId="41040A43" w14:textId="77777777" w:rsidR="00664010" w:rsidRPr="00664010" w:rsidRDefault="00664010" w:rsidP="001B36ED">
      <w:pPr>
        <w:pStyle w:val="Bullet"/>
        <w:numPr>
          <w:ilvl w:val="0"/>
          <w:numId w:val="0"/>
        </w:numPr>
      </w:pPr>
    </w:p>
    <w:p w14:paraId="36EFE4EE" w14:textId="77777777" w:rsidR="00664010" w:rsidRPr="00664010" w:rsidRDefault="00664010" w:rsidP="001B36ED">
      <w:pPr>
        <w:pStyle w:val="Bullet"/>
        <w:numPr>
          <w:ilvl w:val="0"/>
          <w:numId w:val="0"/>
        </w:numPr>
      </w:pPr>
    </w:p>
    <w:p w14:paraId="6C90723A" w14:textId="77777777" w:rsidR="00717F07" w:rsidRDefault="00717F07" w:rsidP="00A10322">
      <w:pPr>
        <w:pStyle w:val="Bullet"/>
        <w:numPr>
          <w:ilvl w:val="2"/>
          <w:numId w:val="10"/>
        </w:numPr>
      </w:pPr>
      <w:r w:rsidRPr="006966D1">
        <w:lastRenderedPageBreak/>
        <w:t xml:space="preserve">The key contacts in the Central Finance team are: </w:t>
      </w:r>
    </w:p>
    <w:tbl>
      <w:tblPr>
        <w:tblStyle w:val="TableGrid"/>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560"/>
        <w:gridCol w:w="4394"/>
        <w:gridCol w:w="3100"/>
      </w:tblGrid>
      <w:tr w:rsidR="00717F07" w:rsidRPr="0076381D" w14:paraId="155CDAE8" w14:textId="77777777" w:rsidTr="00F3312B">
        <w:tc>
          <w:tcPr>
            <w:tcW w:w="1560" w:type="dxa"/>
          </w:tcPr>
          <w:p w14:paraId="4950939A" w14:textId="77777777" w:rsidR="00717F07" w:rsidRPr="007D26CD" w:rsidRDefault="00717F07" w:rsidP="00F3312B">
            <w:pPr>
              <w:pStyle w:val="TableText0"/>
              <w:spacing w:before="120" w:after="120" w:line="240" w:lineRule="auto"/>
              <w:rPr>
                <w:b/>
                <w:bCs/>
              </w:rPr>
            </w:pPr>
            <w:bookmarkStart w:id="163" w:name="_91371e86_00cb_4344_a1c9_cb0b31885ec2"/>
            <w:bookmarkStart w:id="164" w:name="_f20388c5_764c_4dcb_87a1_e9b281865572"/>
            <w:bookmarkEnd w:id="163"/>
            <w:r w:rsidRPr="007D26CD">
              <w:rPr>
                <w:b/>
                <w:bCs/>
              </w:rPr>
              <w:t>Name</w:t>
            </w:r>
          </w:p>
        </w:tc>
        <w:tc>
          <w:tcPr>
            <w:tcW w:w="4394" w:type="dxa"/>
          </w:tcPr>
          <w:p w14:paraId="333B6725" w14:textId="77777777" w:rsidR="00717F07" w:rsidRPr="007D26CD" w:rsidRDefault="00717F07" w:rsidP="00F3312B">
            <w:pPr>
              <w:pStyle w:val="TableText0"/>
              <w:spacing w:before="120" w:after="120" w:line="240" w:lineRule="auto"/>
              <w:rPr>
                <w:b/>
                <w:bCs/>
              </w:rPr>
            </w:pPr>
            <w:r w:rsidRPr="007D26CD">
              <w:rPr>
                <w:b/>
                <w:bCs/>
              </w:rPr>
              <w:t>Position</w:t>
            </w:r>
          </w:p>
        </w:tc>
        <w:tc>
          <w:tcPr>
            <w:tcW w:w="3100" w:type="dxa"/>
          </w:tcPr>
          <w:p w14:paraId="08F0B503" w14:textId="77777777" w:rsidR="00717F07" w:rsidRPr="007D26CD" w:rsidRDefault="00717F07" w:rsidP="00F3312B">
            <w:pPr>
              <w:pStyle w:val="TableText0"/>
              <w:spacing w:before="120" w:after="120" w:line="240" w:lineRule="auto"/>
              <w:rPr>
                <w:b/>
                <w:bCs/>
              </w:rPr>
            </w:pPr>
            <w:r w:rsidRPr="007D26CD">
              <w:rPr>
                <w:b/>
                <w:bCs/>
              </w:rPr>
              <w:t>Email address</w:t>
            </w:r>
          </w:p>
        </w:tc>
      </w:tr>
      <w:tr w:rsidR="00717F07" w:rsidRPr="0076381D" w14:paraId="64CA85B7" w14:textId="77777777" w:rsidTr="00F3312B">
        <w:tc>
          <w:tcPr>
            <w:tcW w:w="1560" w:type="dxa"/>
            <w:vAlign w:val="center"/>
          </w:tcPr>
          <w:p w14:paraId="2646AD35" w14:textId="502DA4AE" w:rsidR="00717F07" w:rsidRPr="0076381D" w:rsidRDefault="00A0623D" w:rsidP="00F3312B">
            <w:pPr>
              <w:pStyle w:val="TableText0"/>
              <w:spacing w:before="120" w:after="120" w:line="240" w:lineRule="auto"/>
            </w:pPr>
            <w:r>
              <w:t>Vince Santiago</w:t>
            </w:r>
          </w:p>
        </w:tc>
        <w:tc>
          <w:tcPr>
            <w:tcW w:w="4394" w:type="dxa"/>
            <w:vAlign w:val="center"/>
          </w:tcPr>
          <w:p w14:paraId="006F8334" w14:textId="02D19342" w:rsidR="00717F07" w:rsidRPr="0076381D" w:rsidRDefault="00A0623D" w:rsidP="00F3312B">
            <w:pPr>
              <w:pStyle w:val="TableText0"/>
              <w:spacing w:before="120" w:after="120" w:line="240" w:lineRule="auto"/>
            </w:pPr>
            <w:r>
              <w:t>Regulatory Reporting Manager</w:t>
            </w:r>
          </w:p>
        </w:tc>
        <w:tc>
          <w:tcPr>
            <w:tcW w:w="3100" w:type="dxa"/>
            <w:vAlign w:val="center"/>
          </w:tcPr>
          <w:p w14:paraId="5109172A" w14:textId="532B609D" w:rsidR="00717F07" w:rsidRPr="0076381D" w:rsidRDefault="00A0623D" w:rsidP="00F3312B">
            <w:pPr>
              <w:pStyle w:val="TableText0"/>
              <w:spacing w:before="120" w:after="120" w:line="240" w:lineRule="auto"/>
            </w:pPr>
            <w:hyperlink r:id="rId27" w:history="1">
              <w:r w:rsidRPr="00267981">
                <w:rPr>
                  <w:rStyle w:val="Hyperlink"/>
                </w:rPr>
                <w:t>Vince.Santiago@lloyds.com</w:t>
              </w:r>
            </w:hyperlink>
            <w:r w:rsidR="00F51386">
              <w:t xml:space="preserve"> </w:t>
            </w:r>
          </w:p>
        </w:tc>
      </w:tr>
      <w:tr w:rsidR="00717F07" w:rsidRPr="0076381D" w14:paraId="348BF9CF" w14:textId="77777777" w:rsidTr="00F3312B">
        <w:tc>
          <w:tcPr>
            <w:tcW w:w="1560" w:type="dxa"/>
            <w:vAlign w:val="center"/>
          </w:tcPr>
          <w:p w14:paraId="4878B285" w14:textId="77777777" w:rsidR="00717F07" w:rsidRPr="0076381D" w:rsidRDefault="00717F07" w:rsidP="00F3312B">
            <w:pPr>
              <w:pStyle w:val="TableText0"/>
              <w:spacing w:before="120" w:after="120" w:line="240" w:lineRule="auto"/>
            </w:pPr>
            <w:r>
              <w:t>Sachin Patel</w:t>
            </w:r>
          </w:p>
        </w:tc>
        <w:tc>
          <w:tcPr>
            <w:tcW w:w="4394" w:type="dxa"/>
            <w:vAlign w:val="center"/>
          </w:tcPr>
          <w:p w14:paraId="59656784" w14:textId="77777777" w:rsidR="00717F07" w:rsidRPr="0076381D" w:rsidRDefault="00717F07" w:rsidP="00F3312B">
            <w:pPr>
              <w:pStyle w:val="TableText0"/>
              <w:spacing w:before="120" w:after="120" w:line="240" w:lineRule="auto"/>
            </w:pPr>
            <w:r>
              <w:t>Reporting Accountant</w:t>
            </w:r>
          </w:p>
        </w:tc>
        <w:tc>
          <w:tcPr>
            <w:tcW w:w="3100" w:type="dxa"/>
            <w:vAlign w:val="center"/>
          </w:tcPr>
          <w:p w14:paraId="22410C92" w14:textId="77777777" w:rsidR="00717F07" w:rsidRPr="0076381D" w:rsidRDefault="00717F07" w:rsidP="00F3312B">
            <w:pPr>
              <w:pStyle w:val="TableText0"/>
              <w:spacing w:before="120" w:after="120" w:line="240" w:lineRule="auto"/>
            </w:pPr>
            <w:hyperlink r:id="rId28" w:history="1">
              <w:r w:rsidRPr="0060431A">
                <w:rPr>
                  <w:rStyle w:val="Hyperlink"/>
                </w:rPr>
                <w:t>Sachin.Patel@lloyds.com</w:t>
              </w:r>
            </w:hyperlink>
            <w:r>
              <w:t xml:space="preserve"> </w:t>
            </w:r>
          </w:p>
        </w:tc>
      </w:tr>
      <w:tr w:rsidR="00717F07" w:rsidRPr="0076381D" w14:paraId="3CC3F817" w14:textId="77777777" w:rsidTr="00F3312B">
        <w:tc>
          <w:tcPr>
            <w:tcW w:w="1560" w:type="dxa"/>
            <w:vAlign w:val="center"/>
          </w:tcPr>
          <w:p w14:paraId="78FB3996" w14:textId="77777777" w:rsidR="00717F07" w:rsidRDefault="00717F07" w:rsidP="00F3312B">
            <w:pPr>
              <w:pStyle w:val="TableText0"/>
              <w:spacing w:before="120" w:after="120"/>
            </w:pPr>
            <w:r>
              <w:t>Kate Maloney</w:t>
            </w:r>
          </w:p>
        </w:tc>
        <w:tc>
          <w:tcPr>
            <w:tcW w:w="4394" w:type="dxa"/>
            <w:vAlign w:val="center"/>
          </w:tcPr>
          <w:p w14:paraId="58DD22F5" w14:textId="77777777" w:rsidR="00717F07" w:rsidRDefault="00717F07" w:rsidP="00F3312B">
            <w:pPr>
              <w:pStyle w:val="TableText0"/>
              <w:spacing w:before="120" w:after="120"/>
            </w:pPr>
            <w:r w:rsidRPr="00F90004">
              <w:t xml:space="preserve">Accounts Assistant </w:t>
            </w:r>
          </w:p>
        </w:tc>
        <w:tc>
          <w:tcPr>
            <w:tcW w:w="3100" w:type="dxa"/>
            <w:vAlign w:val="center"/>
          </w:tcPr>
          <w:p w14:paraId="3692E766" w14:textId="77777777" w:rsidR="00717F07" w:rsidRDefault="00717F07" w:rsidP="00F3312B">
            <w:pPr>
              <w:pStyle w:val="TableText0"/>
              <w:spacing w:before="120" w:after="120"/>
            </w:pPr>
            <w:hyperlink r:id="rId29" w:history="1">
              <w:r w:rsidRPr="000564B8">
                <w:rPr>
                  <w:rStyle w:val="Hyperlink"/>
                </w:rPr>
                <w:t>Kate.Maloney@lloyds.com</w:t>
              </w:r>
            </w:hyperlink>
            <w:r>
              <w:t xml:space="preserve"> </w:t>
            </w:r>
          </w:p>
        </w:tc>
      </w:tr>
      <w:tr w:rsidR="00717F07" w:rsidRPr="0076381D" w14:paraId="3C45F947" w14:textId="77777777" w:rsidTr="00F3312B">
        <w:tc>
          <w:tcPr>
            <w:tcW w:w="1560" w:type="dxa"/>
            <w:vAlign w:val="center"/>
          </w:tcPr>
          <w:p w14:paraId="4511617F" w14:textId="77777777" w:rsidR="00717F07" w:rsidRPr="0076381D" w:rsidRDefault="00717F07" w:rsidP="00F3312B">
            <w:pPr>
              <w:pStyle w:val="TableText0"/>
              <w:spacing w:before="120" w:after="120" w:line="240" w:lineRule="auto"/>
            </w:pPr>
            <w:r>
              <w:t>Rizwan Kermali</w:t>
            </w:r>
          </w:p>
        </w:tc>
        <w:tc>
          <w:tcPr>
            <w:tcW w:w="4394" w:type="dxa"/>
            <w:vAlign w:val="center"/>
          </w:tcPr>
          <w:p w14:paraId="46D6287E" w14:textId="77777777" w:rsidR="00717F07" w:rsidRPr="0076381D" w:rsidRDefault="00717F07" w:rsidP="00F3312B">
            <w:pPr>
              <w:pStyle w:val="TableText0"/>
              <w:spacing w:before="120" w:after="120" w:line="240" w:lineRule="auto"/>
            </w:pPr>
            <w:r>
              <w:t>Head of External Reporting</w:t>
            </w:r>
          </w:p>
        </w:tc>
        <w:tc>
          <w:tcPr>
            <w:tcW w:w="3100" w:type="dxa"/>
            <w:vAlign w:val="center"/>
          </w:tcPr>
          <w:p w14:paraId="20DC3E12" w14:textId="77777777" w:rsidR="00717F07" w:rsidRDefault="00717F07" w:rsidP="00F3312B">
            <w:pPr>
              <w:pStyle w:val="TableText0"/>
              <w:spacing w:before="120" w:after="120" w:line="240" w:lineRule="auto"/>
            </w:pPr>
            <w:hyperlink r:id="rId30" w:history="1">
              <w:r w:rsidRPr="001C16D7">
                <w:rPr>
                  <w:rStyle w:val="Hyperlink"/>
                </w:rPr>
                <w:t>Ri</w:t>
              </w:r>
              <w:r>
                <w:rPr>
                  <w:rStyle w:val="Hyperlink"/>
                </w:rPr>
                <w:t>z</w:t>
              </w:r>
              <w:r w:rsidRPr="001C16D7">
                <w:rPr>
                  <w:rStyle w:val="Hyperlink"/>
                </w:rPr>
                <w:t>wan.Kermali@lloyds.com</w:t>
              </w:r>
            </w:hyperlink>
            <w:r>
              <w:t xml:space="preserve"> </w:t>
            </w:r>
          </w:p>
        </w:tc>
      </w:tr>
    </w:tbl>
    <w:p w14:paraId="4E1E7723" w14:textId="77777777" w:rsidR="00012CEF" w:rsidRDefault="00012CEF" w:rsidP="00F3312B">
      <w:pPr>
        <w:pStyle w:val="Heading2"/>
        <w:numPr>
          <w:ilvl w:val="0"/>
          <w:numId w:val="0"/>
        </w:numPr>
        <w:spacing w:after="120" w:line="240" w:lineRule="auto"/>
      </w:pPr>
      <w:bookmarkStart w:id="165" w:name="_Toc199336862"/>
      <w:bookmarkStart w:id="166" w:name="_Toc199336960"/>
      <w:bookmarkStart w:id="167" w:name="_Toc199337004"/>
      <w:bookmarkStart w:id="168" w:name="_Toc199360315"/>
      <w:bookmarkStart w:id="169" w:name="_Toc199360379"/>
      <w:bookmarkStart w:id="170" w:name="_Toc199510594"/>
      <w:bookmarkEnd w:id="164"/>
      <w:bookmarkEnd w:id="165"/>
      <w:bookmarkEnd w:id="166"/>
      <w:bookmarkEnd w:id="167"/>
      <w:bookmarkEnd w:id="168"/>
      <w:bookmarkEnd w:id="169"/>
    </w:p>
    <w:p w14:paraId="6378F03C" w14:textId="20213ED2" w:rsidR="00717F07" w:rsidRDefault="00717F07" w:rsidP="00717F07">
      <w:pPr>
        <w:pStyle w:val="Heading2"/>
        <w:spacing w:after="120" w:line="240" w:lineRule="auto"/>
      </w:pPr>
      <w:bookmarkStart w:id="171" w:name="_Toc225844990"/>
      <w:r>
        <w:t>FAQs</w:t>
      </w:r>
      <w:bookmarkEnd w:id="170"/>
      <w:bookmarkEnd w:id="171"/>
    </w:p>
    <w:p w14:paraId="31A506AA" w14:textId="45012AFD" w:rsidR="00717F07" w:rsidRPr="008217B0" w:rsidRDefault="00717F07" w:rsidP="00A10322">
      <w:pPr>
        <w:pStyle w:val="Bullet"/>
        <w:numPr>
          <w:ilvl w:val="2"/>
          <w:numId w:val="10"/>
        </w:numPr>
      </w:pPr>
      <w:r>
        <w:t xml:space="preserve">Answers to frequently asked questions not covered in the contents of these instructions can be found on the Lloyd’s website </w:t>
      </w:r>
      <w:hyperlink r:id="rId31" w:history="1">
        <w:r w:rsidR="001D1343" w:rsidRPr="00DE75F6">
          <w:rPr>
            <w:rStyle w:val="Hyperlink"/>
          </w:rPr>
          <w:t>https://www.lloyds.com/faq-solvency-uk</w:t>
        </w:r>
      </w:hyperlink>
      <w:r w:rsidR="001D1343">
        <w:t xml:space="preserve"> </w:t>
      </w:r>
      <w:r>
        <w:t>and will be updated as necessary.</w:t>
      </w:r>
    </w:p>
    <w:p w14:paraId="32BCD5F3" w14:textId="77777777" w:rsidR="00345C5C" w:rsidRDefault="00345C5C" w:rsidP="00A10322">
      <w:pPr>
        <w:pStyle w:val="Bullet"/>
        <w:numPr>
          <w:ilvl w:val="2"/>
          <w:numId w:val="10"/>
        </w:numPr>
      </w:pPr>
      <w:r>
        <w:t>The FAQs are considered to be a formal amendment to these instructions and must be complied with.</w:t>
      </w:r>
    </w:p>
    <w:p w14:paraId="16FFB431" w14:textId="77777777" w:rsidR="009B16EA" w:rsidRDefault="009B16EA">
      <w:pPr>
        <w:tabs>
          <w:tab w:val="clear" w:pos="5897"/>
        </w:tabs>
        <w:spacing w:after="0" w:line="240" w:lineRule="auto"/>
        <w:rPr>
          <w:rFonts w:asciiTheme="majorHAnsi" w:hAnsiTheme="majorHAnsi"/>
          <w:b/>
          <w:spacing w:val="-2"/>
          <w:kern w:val="28"/>
          <w:sz w:val="32"/>
          <w:szCs w:val="32"/>
        </w:rPr>
      </w:pPr>
      <w:r>
        <w:br w:type="page"/>
      </w:r>
    </w:p>
    <w:p w14:paraId="296EE6AD" w14:textId="42717E1B" w:rsidR="00472804" w:rsidRDefault="004A393D" w:rsidP="00552920">
      <w:pPr>
        <w:pStyle w:val="Heading1"/>
        <w:numPr>
          <w:ilvl w:val="0"/>
          <w:numId w:val="0"/>
        </w:numPr>
      </w:pPr>
      <w:bookmarkStart w:id="172" w:name="_Toc225844991"/>
      <w:r w:rsidRPr="00FA041F">
        <w:lastRenderedPageBreak/>
        <w:t xml:space="preserve">Appendix </w:t>
      </w:r>
      <w:r w:rsidR="00403665">
        <w:t>– Additional Guidance</w:t>
      </w:r>
      <w:bookmarkEnd w:id="172"/>
    </w:p>
    <w:p w14:paraId="3922DC3E" w14:textId="1C05CFB7" w:rsidR="00A72063" w:rsidRPr="00126D5A" w:rsidRDefault="00D402B2" w:rsidP="00A72063">
      <w:pPr>
        <w:pStyle w:val="Heading2"/>
        <w:numPr>
          <w:ilvl w:val="0"/>
          <w:numId w:val="0"/>
        </w:numPr>
        <w:spacing w:after="120" w:line="240" w:lineRule="auto"/>
      </w:pPr>
      <w:bookmarkStart w:id="173" w:name="_Toc225844992"/>
      <w:r>
        <w:t xml:space="preserve">Impact of reinsurance contract </w:t>
      </w:r>
      <w:r w:rsidR="0044539F">
        <w:t>boundary change</w:t>
      </w:r>
      <w:bookmarkEnd w:id="173"/>
    </w:p>
    <w:p w14:paraId="6E8D43AA" w14:textId="6AE434F2" w:rsidR="00126D5A" w:rsidRPr="00126D5A" w:rsidRDefault="00877570" w:rsidP="00126D5A">
      <w:pPr>
        <w:spacing w:before="120" w:line="280" w:lineRule="atLeast"/>
        <w:rPr>
          <w:sz w:val="22"/>
          <w:szCs w:val="22"/>
        </w:rPr>
      </w:pPr>
      <w:r w:rsidRPr="00126D5A">
        <w:rPr>
          <w:sz w:val="22"/>
          <w:szCs w:val="22"/>
        </w:rPr>
        <w:t xml:space="preserve">Information on the impact of the </w:t>
      </w:r>
      <w:r w:rsidR="00BC7402">
        <w:rPr>
          <w:sz w:val="22"/>
          <w:szCs w:val="22"/>
        </w:rPr>
        <w:t xml:space="preserve">November 2019 </w:t>
      </w:r>
      <w:r w:rsidRPr="00126D5A">
        <w:rPr>
          <w:sz w:val="22"/>
          <w:szCs w:val="22"/>
        </w:rPr>
        <w:t>change to the treatment of reinsurance contract boundaries is required by reporting year of account and in total on line 21</w:t>
      </w:r>
      <w:r w:rsidR="00126D5A">
        <w:rPr>
          <w:sz w:val="22"/>
          <w:szCs w:val="22"/>
        </w:rPr>
        <w:t xml:space="preserve"> of the </w:t>
      </w:r>
      <w:r w:rsidR="00126D5A" w:rsidRPr="00126D5A">
        <w:rPr>
          <w:sz w:val="22"/>
          <w:szCs w:val="22"/>
        </w:rPr>
        <w:t>Solvency balance sheet reconciliation and contract boundary change template.</w:t>
      </w:r>
    </w:p>
    <w:p w14:paraId="62C2F86E" w14:textId="472CEBBA" w:rsidR="00877570" w:rsidRPr="00126D5A" w:rsidRDefault="00877570" w:rsidP="00F76362">
      <w:pPr>
        <w:spacing w:before="120" w:line="280" w:lineRule="atLeast"/>
        <w:rPr>
          <w:rFonts w:cs="Arial"/>
          <w:sz w:val="22"/>
          <w:szCs w:val="22"/>
        </w:rPr>
      </w:pPr>
      <w:r w:rsidRPr="00126D5A">
        <w:rPr>
          <w:sz w:val="22"/>
          <w:szCs w:val="22"/>
        </w:rPr>
        <w:t xml:space="preserve">This information will be used centrally by Lloyd’s to neutralise the effect of the </w:t>
      </w:r>
      <w:r w:rsidR="00BC7402">
        <w:rPr>
          <w:sz w:val="22"/>
          <w:szCs w:val="22"/>
        </w:rPr>
        <w:t xml:space="preserve">November 2019 </w:t>
      </w:r>
      <w:r w:rsidRPr="00126D5A">
        <w:rPr>
          <w:sz w:val="22"/>
          <w:szCs w:val="22"/>
        </w:rPr>
        <w:t>change to reinsurance contract boundaries.</w:t>
      </w:r>
    </w:p>
    <w:p w14:paraId="67F3A223" w14:textId="3673E9AD" w:rsidR="00126D5A" w:rsidRDefault="006726A1" w:rsidP="00F76362">
      <w:pPr>
        <w:spacing w:before="120" w:line="280" w:lineRule="atLeast"/>
        <w:rPr>
          <w:rFonts w:cs="Arial"/>
          <w:sz w:val="22"/>
          <w:szCs w:val="22"/>
        </w:rPr>
      </w:pPr>
      <w:r>
        <w:rPr>
          <w:rFonts w:cs="Arial"/>
          <w:sz w:val="22"/>
          <w:szCs w:val="22"/>
        </w:rPr>
        <w:t>Guidance is included below on the calculation of the figures to be reported.</w:t>
      </w:r>
    </w:p>
    <w:p w14:paraId="22FCD64C" w14:textId="58DAF4F7" w:rsidR="00F76362" w:rsidRPr="00324BD7" w:rsidRDefault="00995AEF" w:rsidP="00F76362">
      <w:pPr>
        <w:spacing w:before="120" w:line="280" w:lineRule="atLeast"/>
        <w:rPr>
          <w:rFonts w:cs="Arial"/>
          <w:sz w:val="22"/>
          <w:szCs w:val="22"/>
        </w:rPr>
      </w:pPr>
      <w:r>
        <w:rPr>
          <w:rFonts w:cs="Arial"/>
          <w:sz w:val="22"/>
          <w:szCs w:val="22"/>
        </w:rPr>
        <w:t>R</w:t>
      </w:r>
      <w:r w:rsidR="00F76362" w:rsidRPr="00324BD7">
        <w:rPr>
          <w:rFonts w:cs="Arial"/>
          <w:sz w:val="22"/>
          <w:szCs w:val="22"/>
        </w:rPr>
        <w:t>einsurance premiums should be included as described in the 2024 Lloyd’s guidance on Technical Provisions</w:t>
      </w:r>
      <w:r w:rsidR="007D6A8F">
        <w:rPr>
          <w:rFonts w:cs="Arial"/>
          <w:sz w:val="22"/>
          <w:szCs w:val="22"/>
        </w:rPr>
        <w:t>.</w:t>
      </w:r>
    </w:p>
    <w:p w14:paraId="58B5DA7B" w14:textId="62F48564" w:rsidR="00F76362" w:rsidRPr="00324BD7" w:rsidRDefault="00F76362" w:rsidP="00F76362">
      <w:pPr>
        <w:spacing w:before="120" w:line="280" w:lineRule="atLeast"/>
        <w:rPr>
          <w:rFonts w:cs="Arial"/>
          <w:sz w:val="22"/>
          <w:szCs w:val="22"/>
        </w:rPr>
      </w:pPr>
      <w:r w:rsidRPr="00324BD7">
        <w:rPr>
          <w:rFonts w:cs="Arial"/>
          <w:sz w:val="22"/>
          <w:szCs w:val="22"/>
        </w:rPr>
        <w:t xml:space="preserve">The </w:t>
      </w:r>
      <w:r w:rsidR="007513B4">
        <w:rPr>
          <w:rFonts w:cs="Arial"/>
          <w:sz w:val="22"/>
          <w:szCs w:val="22"/>
        </w:rPr>
        <w:t>Lloyd’s</w:t>
      </w:r>
      <w:r w:rsidRPr="00324BD7">
        <w:rPr>
          <w:rFonts w:cs="Arial"/>
          <w:sz w:val="22"/>
          <w:szCs w:val="22"/>
        </w:rPr>
        <w:t xml:space="preserve"> rules regarding reinsurance contract boundaries</w:t>
      </w:r>
      <w:r w:rsidR="00156780">
        <w:rPr>
          <w:rFonts w:cs="Arial"/>
          <w:sz w:val="22"/>
          <w:szCs w:val="22"/>
        </w:rPr>
        <w:t xml:space="preserve"> were updated in November 2019 and</w:t>
      </w:r>
      <w:r w:rsidRPr="00324BD7">
        <w:rPr>
          <w:rFonts w:cs="Arial"/>
          <w:sz w:val="22"/>
          <w:szCs w:val="22"/>
        </w:rPr>
        <w:t xml:space="preserve"> require the premium for all existing and legally obliged reinsurance contracts to be included to the contractual minimum. This is expected to increase the level of technical provisions. Premiums for contracts that are not yet written or legally obliged, but would apply to existing inwards business, can be treated on a principle of correspondence basis.</w:t>
      </w:r>
    </w:p>
    <w:p w14:paraId="538B755A" w14:textId="77777777" w:rsidR="00F76362" w:rsidRPr="00324BD7" w:rsidRDefault="00F76362" w:rsidP="00F76362">
      <w:pPr>
        <w:spacing w:before="120" w:line="280" w:lineRule="atLeast"/>
        <w:ind w:left="11" w:hanging="11"/>
        <w:rPr>
          <w:rFonts w:cs="Arial"/>
          <w:sz w:val="22"/>
          <w:szCs w:val="22"/>
        </w:rPr>
      </w:pPr>
      <w:r w:rsidRPr="00324BD7">
        <w:rPr>
          <w:rFonts w:cs="Arial"/>
          <w:sz w:val="22"/>
          <w:szCs w:val="22"/>
        </w:rPr>
        <w:t>Example (in £m):</w:t>
      </w:r>
    </w:p>
    <w:p w14:paraId="2821E147" w14:textId="77777777" w:rsidR="00F76362" w:rsidRPr="00324BD7" w:rsidRDefault="00F76362" w:rsidP="00F76362">
      <w:pPr>
        <w:numPr>
          <w:ilvl w:val="0"/>
          <w:numId w:val="32"/>
        </w:numPr>
        <w:tabs>
          <w:tab w:val="clear" w:pos="5897"/>
        </w:tabs>
        <w:spacing w:before="120" w:line="280" w:lineRule="atLeast"/>
        <w:ind w:left="360"/>
        <w:rPr>
          <w:rFonts w:cs="Arial"/>
          <w:b/>
          <w:sz w:val="22"/>
          <w:szCs w:val="22"/>
        </w:rPr>
      </w:pPr>
      <w:r w:rsidRPr="00324BD7">
        <w:rPr>
          <w:rFonts w:cs="Arial"/>
          <w:sz w:val="22"/>
          <w:szCs w:val="22"/>
        </w:rPr>
        <w:t>Total RI UPR; £40m (all contractually obliged)</w:t>
      </w:r>
    </w:p>
    <w:p w14:paraId="36CC23A1" w14:textId="77777777" w:rsidR="00F76362" w:rsidRPr="00324BD7" w:rsidRDefault="00F76362" w:rsidP="00F76362">
      <w:pPr>
        <w:numPr>
          <w:ilvl w:val="0"/>
          <w:numId w:val="32"/>
        </w:numPr>
        <w:tabs>
          <w:tab w:val="clear" w:pos="5897"/>
        </w:tabs>
        <w:spacing w:before="120" w:line="280" w:lineRule="atLeast"/>
        <w:ind w:left="360"/>
        <w:rPr>
          <w:rFonts w:cs="Arial"/>
          <w:b/>
          <w:sz w:val="22"/>
          <w:szCs w:val="22"/>
        </w:rPr>
      </w:pPr>
      <w:r w:rsidRPr="00324BD7">
        <w:rPr>
          <w:rFonts w:cs="Arial"/>
          <w:sz w:val="22"/>
          <w:szCs w:val="22"/>
        </w:rPr>
        <w:t xml:space="preserve">The above £40m includes a contractual minimum of RI premium of £10m relating to direct inward policies not written at the balance sheet date.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3"/>
        <w:gridCol w:w="744"/>
        <w:gridCol w:w="709"/>
      </w:tblGrid>
      <w:tr w:rsidR="00446084" w:rsidRPr="00324BD7" w14:paraId="15E63767" w14:textId="77777777" w:rsidTr="00F3312B">
        <w:tc>
          <w:tcPr>
            <w:tcW w:w="7903" w:type="dxa"/>
            <w:tcBorders>
              <w:bottom w:val="single" w:sz="4" w:space="0" w:color="auto"/>
            </w:tcBorders>
            <w:shd w:val="clear" w:color="auto" w:fill="F2F2F2" w:themeFill="background1" w:themeFillShade="F2"/>
          </w:tcPr>
          <w:p w14:paraId="58E73894" w14:textId="476ED7E7" w:rsidR="00446084" w:rsidRPr="004C65A0" w:rsidRDefault="00446084" w:rsidP="00F3312B">
            <w:pPr>
              <w:spacing w:before="80" w:after="80" w:line="240" w:lineRule="auto"/>
              <w:rPr>
                <w:rFonts w:cs="Arial"/>
                <w:szCs w:val="18"/>
              </w:rPr>
            </w:pPr>
            <w:r w:rsidRPr="004C65A0">
              <w:rPr>
                <w:rFonts w:cs="Arial"/>
                <w:szCs w:val="18"/>
              </w:rPr>
              <w:t>JOURNAL ENTRIES TO REFLECT RI ON UPR: UK GAAP vs SOLVENCY (BEFORE AND AFTER REVISED SOLVENCY TREATMENT OF CONTRACT BOUNDARIES)</w:t>
            </w:r>
          </w:p>
        </w:tc>
        <w:tc>
          <w:tcPr>
            <w:tcW w:w="744" w:type="dxa"/>
            <w:tcBorders>
              <w:bottom w:val="single" w:sz="4" w:space="0" w:color="auto"/>
            </w:tcBorders>
            <w:shd w:val="clear" w:color="auto" w:fill="F2F2F2" w:themeFill="background1" w:themeFillShade="F2"/>
          </w:tcPr>
          <w:p w14:paraId="39725C02" w14:textId="77777777" w:rsidR="00446084" w:rsidRPr="00F3312B" w:rsidRDefault="00446084" w:rsidP="00F3312B">
            <w:pPr>
              <w:spacing w:before="80" w:after="80" w:line="240" w:lineRule="auto"/>
              <w:jc w:val="right"/>
              <w:rPr>
                <w:rFonts w:cs="Arial"/>
                <w:szCs w:val="18"/>
                <w:u w:val="single"/>
              </w:rPr>
            </w:pPr>
            <w:r w:rsidRPr="00F3312B">
              <w:rPr>
                <w:rFonts w:cs="Arial"/>
                <w:szCs w:val="18"/>
                <w:u w:val="single"/>
              </w:rPr>
              <w:t xml:space="preserve">DR </w:t>
            </w:r>
          </w:p>
          <w:p w14:paraId="7340952F" w14:textId="77777777" w:rsidR="00446084" w:rsidRPr="00F3312B" w:rsidRDefault="00446084" w:rsidP="00F3312B">
            <w:pPr>
              <w:spacing w:before="80" w:after="80" w:line="240" w:lineRule="auto"/>
              <w:jc w:val="right"/>
              <w:rPr>
                <w:rFonts w:cs="Arial"/>
                <w:szCs w:val="18"/>
                <w:u w:val="single"/>
              </w:rPr>
            </w:pPr>
            <w:r w:rsidRPr="00F3312B">
              <w:rPr>
                <w:rFonts w:cs="Arial"/>
                <w:szCs w:val="18"/>
                <w:u w:val="single"/>
              </w:rPr>
              <w:t>£m</w:t>
            </w:r>
          </w:p>
        </w:tc>
        <w:tc>
          <w:tcPr>
            <w:tcW w:w="709" w:type="dxa"/>
            <w:tcBorders>
              <w:bottom w:val="single" w:sz="4" w:space="0" w:color="auto"/>
            </w:tcBorders>
            <w:shd w:val="clear" w:color="auto" w:fill="F2F2F2" w:themeFill="background1" w:themeFillShade="F2"/>
          </w:tcPr>
          <w:p w14:paraId="0FA831D3" w14:textId="77777777" w:rsidR="00446084" w:rsidRPr="00F3312B" w:rsidRDefault="00446084" w:rsidP="00F3312B">
            <w:pPr>
              <w:spacing w:before="80" w:after="80" w:line="240" w:lineRule="auto"/>
              <w:jc w:val="right"/>
              <w:rPr>
                <w:rFonts w:cs="Arial"/>
                <w:szCs w:val="18"/>
                <w:u w:val="single"/>
              </w:rPr>
            </w:pPr>
            <w:r w:rsidRPr="00F3312B">
              <w:rPr>
                <w:rFonts w:cs="Arial"/>
                <w:szCs w:val="18"/>
                <w:u w:val="single"/>
              </w:rPr>
              <w:t xml:space="preserve">CR </w:t>
            </w:r>
          </w:p>
          <w:p w14:paraId="428C27F8" w14:textId="77777777" w:rsidR="00446084" w:rsidRPr="00F3312B" w:rsidRDefault="00446084" w:rsidP="00F3312B">
            <w:pPr>
              <w:spacing w:before="80" w:after="80" w:line="240" w:lineRule="auto"/>
              <w:jc w:val="right"/>
              <w:rPr>
                <w:rFonts w:cs="Arial"/>
                <w:szCs w:val="18"/>
                <w:u w:val="single"/>
              </w:rPr>
            </w:pPr>
            <w:r w:rsidRPr="00F3312B">
              <w:rPr>
                <w:rFonts w:cs="Arial"/>
                <w:szCs w:val="18"/>
                <w:u w:val="single"/>
              </w:rPr>
              <w:t>£m</w:t>
            </w:r>
          </w:p>
        </w:tc>
      </w:tr>
      <w:tr w:rsidR="00446084" w:rsidRPr="00324BD7" w14:paraId="4881D984" w14:textId="77777777" w:rsidTr="00F3312B">
        <w:trPr>
          <w:trHeight w:val="617"/>
        </w:trPr>
        <w:tc>
          <w:tcPr>
            <w:tcW w:w="7903" w:type="dxa"/>
            <w:tcBorders>
              <w:bottom w:val="single" w:sz="4" w:space="0" w:color="auto"/>
            </w:tcBorders>
          </w:tcPr>
          <w:p w14:paraId="3BE829E2" w14:textId="77777777" w:rsidR="00446084" w:rsidRPr="00F3312B" w:rsidRDefault="00446084" w:rsidP="00F3312B">
            <w:pPr>
              <w:spacing w:before="80" w:after="80" w:line="240" w:lineRule="auto"/>
              <w:rPr>
                <w:rFonts w:cs="Arial"/>
                <w:szCs w:val="18"/>
              </w:rPr>
            </w:pPr>
            <w:r w:rsidRPr="00F3312B">
              <w:rPr>
                <w:rFonts w:cs="Arial"/>
                <w:szCs w:val="18"/>
              </w:rPr>
              <w:t>UK GAAP LEDGER ENTRIES (Same treatment before and after November 2019 Solvency II TP update)</w:t>
            </w:r>
          </w:p>
        </w:tc>
        <w:tc>
          <w:tcPr>
            <w:tcW w:w="744" w:type="dxa"/>
            <w:tcBorders>
              <w:bottom w:val="single" w:sz="4" w:space="0" w:color="auto"/>
            </w:tcBorders>
          </w:tcPr>
          <w:p w14:paraId="549B972C" w14:textId="77777777" w:rsidR="00446084" w:rsidRPr="00F3312B" w:rsidRDefault="00446084" w:rsidP="00F3312B">
            <w:pPr>
              <w:spacing w:before="80" w:after="80" w:line="240" w:lineRule="auto"/>
              <w:jc w:val="right"/>
              <w:rPr>
                <w:rFonts w:cs="Arial"/>
                <w:szCs w:val="18"/>
              </w:rPr>
            </w:pPr>
          </w:p>
        </w:tc>
        <w:tc>
          <w:tcPr>
            <w:tcW w:w="709" w:type="dxa"/>
            <w:tcBorders>
              <w:bottom w:val="single" w:sz="4" w:space="0" w:color="auto"/>
            </w:tcBorders>
          </w:tcPr>
          <w:p w14:paraId="7003452E" w14:textId="77777777" w:rsidR="00446084" w:rsidRPr="00F3312B" w:rsidRDefault="00446084" w:rsidP="00F3312B">
            <w:pPr>
              <w:spacing w:before="80" w:after="80" w:line="240" w:lineRule="auto"/>
              <w:jc w:val="right"/>
              <w:rPr>
                <w:rFonts w:cs="Arial"/>
                <w:szCs w:val="18"/>
              </w:rPr>
            </w:pPr>
          </w:p>
        </w:tc>
      </w:tr>
      <w:tr w:rsidR="00446084" w:rsidRPr="00324BD7" w14:paraId="6E805FF6" w14:textId="77777777" w:rsidTr="00F3312B">
        <w:tc>
          <w:tcPr>
            <w:tcW w:w="7903" w:type="dxa"/>
            <w:tcBorders>
              <w:top w:val="single" w:sz="4" w:space="0" w:color="auto"/>
              <w:left w:val="single" w:sz="4" w:space="0" w:color="auto"/>
              <w:bottom w:val="nil"/>
              <w:right w:val="single" w:sz="4" w:space="0" w:color="auto"/>
            </w:tcBorders>
          </w:tcPr>
          <w:p w14:paraId="388274B2" w14:textId="77777777" w:rsidR="00446084" w:rsidRPr="00F3312B" w:rsidRDefault="00446084" w:rsidP="00F3312B">
            <w:pPr>
              <w:spacing w:before="80" w:after="80" w:line="240" w:lineRule="auto"/>
              <w:ind w:left="34"/>
              <w:rPr>
                <w:rFonts w:cs="Arial"/>
                <w:strike/>
                <w:szCs w:val="18"/>
              </w:rPr>
            </w:pPr>
            <w:r w:rsidRPr="00F3312B">
              <w:rPr>
                <w:rFonts w:cs="Arial"/>
                <w:szCs w:val="18"/>
              </w:rPr>
              <w:t>(1a) RI UPR (Balance Sheet)</w:t>
            </w:r>
          </w:p>
        </w:tc>
        <w:tc>
          <w:tcPr>
            <w:tcW w:w="744" w:type="dxa"/>
            <w:tcBorders>
              <w:top w:val="single" w:sz="4" w:space="0" w:color="auto"/>
              <w:left w:val="single" w:sz="4" w:space="0" w:color="auto"/>
              <w:bottom w:val="nil"/>
              <w:right w:val="single" w:sz="4" w:space="0" w:color="auto"/>
            </w:tcBorders>
          </w:tcPr>
          <w:p w14:paraId="7FC39F09" w14:textId="77777777" w:rsidR="00446084" w:rsidRPr="00F3312B" w:rsidRDefault="00446084" w:rsidP="00F3312B">
            <w:pPr>
              <w:spacing w:before="80" w:after="80" w:line="240" w:lineRule="auto"/>
              <w:jc w:val="right"/>
              <w:rPr>
                <w:rFonts w:cs="Arial"/>
                <w:szCs w:val="18"/>
              </w:rPr>
            </w:pPr>
            <w:r w:rsidRPr="00F3312B">
              <w:rPr>
                <w:rFonts w:cs="Arial"/>
                <w:szCs w:val="18"/>
              </w:rPr>
              <w:t>40</w:t>
            </w:r>
          </w:p>
        </w:tc>
        <w:tc>
          <w:tcPr>
            <w:tcW w:w="709" w:type="dxa"/>
            <w:tcBorders>
              <w:top w:val="single" w:sz="4" w:space="0" w:color="auto"/>
              <w:left w:val="single" w:sz="4" w:space="0" w:color="auto"/>
              <w:bottom w:val="nil"/>
              <w:right w:val="single" w:sz="4" w:space="0" w:color="auto"/>
            </w:tcBorders>
          </w:tcPr>
          <w:p w14:paraId="0EB91C53" w14:textId="77777777" w:rsidR="00446084" w:rsidRPr="00F3312B" w:rsidRDefault="00446084" w:rsidP="00F3312B">
            <w:pPr>
              <w:spacing w:before="80" w:after="80" w:line="240" w:lineRule="auto"/>
              <w:jc w:val="right"/>
              <w:rPr>
                <w:rFonts w:cs="Arial"/>
                <w:szCs w:val="18"/>
              </w:rPr>
            </w:pPr>
          </w:p>
        </w:tc>
      </w:tr>
      <w:tr w:rsidR="00446084" w:rsidRPr="00324BD7" w14:paraId="0C22E2AA" w14:textId="77777777" w:rsidTr="00F3312B">
        <w:tc>
          <w:tcPr>
            <w:tcW w:w="7903" w:type="dxa"/>
            <w:tcBorders>
              <w:top w:val="nil"/>
              <w:left w:val="single" w:sz="4" w:space="0" w:color="auto"/>
              <w:bottom w:val="single" w:sz="4" w:space="0" w:color="auto"/>
              <w:right w:val="single" w:sz="4" w:space="0" w:color="auto"/>
            </w:tcBorders>
          </w:tcPr>
          <w:p w14:paraId="4DEE48F7" w14:textId="59AE291D" w:rsidR="00446084" w:rsidRPr="00F3312B" w:rsidRDefault="00446084" w:rsidP="00F3312B">
            <w:pPr>
              <w:spacing w:before="80" w:after="80" w:line="240" w:lineRule="auto"/>
              <w:rPr>
                <w:rFonts w:cs="Arial"/>
                <w:szCs w:val="18"/>
              </w:rPr>
            </w:pPr>
            <w:r w:rsidRPr="00F3312B">
              <w:rPr>
                <w:rFonts w:cs="Arial"/>
                <w:szCs w:val="18"/>
              </w:rPr>
              <w:t>(1b) Change of gross provisions for unearned premiums, reinsurers’ share</w:t>
            </w:r>
            <w:r w:rsidR="00F51386" w:rsidRPr="00F3312B">
              <w:rPr>
                <w:rFonts w:cs="Arial"/>
                <w:szCs w:val="18"/>
              </w:rPr>
              <w:t xml:space="preserve"> </w:t>
            </w:r>
          </w:p>
          <w:p w14:paraId="49721B73" w14:textId="77777777" w:rsidR="00446084" w:rsidRPr="00F3312B" w:rsidRDefault="00446084" w:rsidP="00F3312B">
            <w:pPr>
              <w:spacing w:before="80" w:after="80" w:line="240" w:lineRule="auto"/>
              <w:rPr>
                <w:rFonts w:cs="Arial"/>
                <w:strike/>
                <w:szCs w:val="18"/>
              </w:rPr>
            </w:pPr>
            <w:r w:rsidRPr="00F3312B">
              <w:rPr>
                <w:rFonts w:cs="Arial"/>
                <w:szCs w:val="18"/>
              </w:rPr>
              <w:t>Being recognition of RI unearned premium on the balance sheet</w:t>
            </w:r>
          </w:p>
        </w:tc>
        <w:tc>
          <w:tcPr>
            <w:tcW w:w="744" w:type="dxa"/>
            <w:tcBorders>
              <w:top w:val="nil"/>
              <w:left w:val="single" w:sz="4" w:space="0" w:color="auto"/>
              <w:bottom w:val="single" w:sz="4" w:space="0" w:color="auto"/>
              <w:right w:val="single" w:sz="4" w:space="0" w:color="auto"/>
            </w:tcBorders>
          </w:tcPr>
          <w:p w14:paraId="3993DDF3" w14:textId="77777777" w:rsidR="00446084" w:rsidRPr="00F3312B" w:rsidRDefault="00446084" w:rsidP="00F3312B">
            <w:pPr>
              <w:spacing w:before="80" w:after="80" w:line="240" w:lineRule="auto"/>
              <w:jc w:val="right"/>
              <w:rPr>
                <w:rFonts w:cs="Arial"/>
                <w:szCs w:val="18"/>
              </w:rPr>
            </w:pPr>
          </w:p>
        </w:tc>
        <w:tc>
          <w:tcPr>
            <w:tcW w:w="709" w:type="dxa"/>
            <w:tcBorders>
              <w:top w:val="nil"/>
              <w:left w:val="single" w:sz="4" w:space="0" w:color="auto"/>
              <w:bottom w:val="single" w:sz="4" w:space="0" w:color="auto"/>
              <w:right w:val="single" w:sz="4" w:space="0" w:color="auto"/>
            </w:tcBorders>
          </w:tcPr>
          <w:p w14:paraId="78B67E94" w14:textId="77777777" w:rsidR="00446084" w:rsidRPr="00F3312B" w:rsidRDefault="00446084" w:rsidP="00F3312B">
            <w:pPr>
              <w:spacing w:before="80" w:after="80" w:line="240" w:lineRule="auto"/>
              <w:jc w:val="right"/>
              <w:rPr>
                <w:rFonts w:cs="Arial"/>
                <w:szCs w:val="18"/>
              </w:rPr>
            </w:pPr>
            <w:r w:rsidRPr="00F3312B">
              <w:rPr>
                <w:rFonts w:cs="Arial"/>
                <w:szCs w:val="18"/>
              </w:rPr>
              <w:t>40</w:t>
            </w:r>
          </w:p>
        </w:tc>
      </w:tr>
      <w:tr w:rsidR="00446084" w:rsidRPr="00324BD7" w14:paraId="58E3EDED" w14:textId="77777777" w:rsidTr="00F3312B">
        <w:trPr>
          <w:trHeight w:val="343"/>
        </w:trPr>
        <w:tc>
          <w:tcPr>
            <w:tcW w:w="7903" w:type="dxa"/>
            <w:tcBorders>
              <w:top w:val="single" w:sz="4" w:space="0" w:color="auto"/>
              <w:bottom w:val="single" w:sz="4" w:space="0" w:color="auto"/>
            </w:tcBorders>
            <w:shd w:val="clear" w:color="auto" w:fill="F2F2F2" w:themeFill="background1" w:themeFillShade="F2"/>
          </w:tcPr>
          <w:p w14:paraId="315E40A4" w14:textId="7BA00C87" w:rsidR="00446084" w:rsidRPr="00F3312B" w:rsidRDefault="00446084" w:rsidP="00F3312B">
            <w:pPr>
              <w:spacing w:before="80" w:after="80" w:line="240" w:lineRule="auto"/>
              <w:rPr>
                <w:rFonts w:cs="Arial"/>
                <w:szCs w:val="18"/>
              </w:rPr>
            </w:pPr>
            <w:r w:rsidRPr="00F3312B">
              <w:rPr>
                <w:rFonts w:cs="Arial"/>
                <w:szCs w:val="18"/>
              </w:rPr>
              <w:t>SOLVENCY ENTRIES – BEFORE UPDATE (AND THUS SUPERCEDED)</w:t>
            </w:r>
          </w:p>
        </w:tc>
        <w:tc>
          <w:tcPr>
            <w:tcW w:w="744" w:type="dxa"/>
            <w:tcBorders>
              <w:top w:val="single" w:sz="4" w:space="0" w:color="auto"/>
              <w:bottom w:val="single" w:sz="4" w:space="0" w:color="auto"/>
            </w:tcBorders>
            <w:shd w:val="clear" w:color="auto" w:fill="F2F2F2" w:themeFill="background1" w:themeFillShade="F2"/>
          </w:tcPr>
          <w:p w14:paraId="07E2A5DA" w14:textId="77777777" w:rsidR="00446084" w:rsidRPr="00F3312B" w:rsidRDefault="00446084" w:rsidP="00F3312B">
            <w:pPr>
              <w:spacing w:before="80" w:after="80" w:line="240" w:lineRule="auto"/>
              <w:jc w:val="right"/>
              <w:rPr>
                <w:rFonts w:cs="Arial"/>
                <w:szCs w:val="18"/>
              </w:rPr>
            </w:pPr>
          </w:p>
        </w:tc>
        <w:tc>
          <w:tcPr>
            <w:tcW w:w="709" w:type="dxa"/>
            <w:tcBorders>
              <w:top w:val="single" w:sz="4" w:space="0" w:color="auto"/>
              <w:bottom w:val="single" w:sz="4" w:space="0" w:color="auto"/>
            </w:tcBorders>
            <w:shd w:val="clear" w:color="auto" w:fill="F2F2F2" w:themeFill="background1" w:themeFillShade="F2"/>
          </w:tcPr>
          <w:p w14:paraId="1D01609B" w14:textId="77777777" w:rsidR="00446084" w:rsidRPr="00F3312B" w:rsidRDefault="00446084" w:rsidP="00F3312B">
            <w:pPr>
              <w:spacing w:before="80" w:after="80" w:line="240" w:lineRule="auto"/>
              <w:jc w:val="right"/>
              <w:rPr>
                <w:rFonts w:cs="Arial"/>
                <w:szCs w:val="18"/>
              </w:rPr>
            </w:pPr>
          </w:p>
        </w:tc>
      </w:tr>
      <w:tr w:rsidR="00446084" w:rsidRPr="00324BD7" w14:paraId="6B441818" w14:textId="77777777" w:rsidTr="00F3312B">
        <w:tc>
          <w:tcPr>
            <w:tcW w:w="7903" w:type="dxa"/>
            <w:tcBorders>
              <w:top w:val="single" w:sz="4" w:space="0" w:color="auto"/>
              <w:left w:val="single" w:sz="4" w:space="0" w:color="auto"/>
              <w:bottom w:val="nil"/>
              <w:right w:val="single" w:sz="4" w:space="0" w:color="auto"/>
            </w:tcBorders>
          </w:tcPr>
          <w:p w14:paraId="3B2B9236" w14:textId="475EBCB6" w:rsidR="00446084" w:rsidRPr="00F3312B" w:rsidRDefault="00446084" w:rsidP="00F3312B">
            <w:pPr>
              <w:spacing w:before="80" w:after="80" w:line="240" w:lineRule="auto"/>
              <w:rPr>
                <w:rFonts w:cs="Arial"/>
                <w:strike/>
                <w:szCs w:val="18"/>
              </w:rPr>
            </w:pPr>
            <w:r w:rsidRPr="00F3312B">
              <w:rPr>
                <w:rFonts w:cs="Arial"/>
                <w:szCs w:val="18"/>
              </w:rPr>
              <w:t>(2a) Excess of assets over liabilities (members’ balances) –</w:t>
            </w:r>
            <w:r w:rsidR="0031623C" w:rsidRPr="00F3312B">
              <w:rPr>
                <w:rFonts w:cs="Arial"/>
                <w:szCs w:val="18"/>
              </w:rPr>
              <w:t xml:space="preserve"> </w:t>
            </w:r>
            <w:r w:rsidR="0052025B" w:rsidRPr="00F3312B">
              <w:rPr>
                <w:rFonts w:cs="Arial"/>
                <w:szCs w:val="18"/>
              </w:rPr>
              <w:t>Solvency Balance Sheet Reconciliation</w:t>
            </w:r>
            <w:r w:rsidR="00B62CD1" w:rsidRPr="00F3312B">
              <w:rPr>
                <w:rFonts w:cs="Arial"/>
                <w:szCs w:val="18"/>
              </w:rPr>
              <w:t xml:space="preserve"> </w:t>
            </w:r>
            <w:r w:rsidRPr="00F3312B">
              <w:rPr>
                <w:rFonts w:cs="Arial"/>
                <w:szCs w:val="18"/>
              </w:rPr>
              <w:t xml:space="preserve">line </w:t>
            </w:r>
            <w:r w:rsidR="009C61EA" w:rsidRPr="00F3312B">
              <w:rPr>
                <w:rFonts w:cs="Arial"/>
                <w:szCs w:val="18"/>
              </w:rPr>
              <w:t>18</w:t>
            </w:r>
            <w:r w:rsidRPr="00F3312B">
              <w:rPr>
                <w:rFonts w:cs="Arial"/>
                <w:szCs w:val="18"/>
              </w:rPr>
              <w:t xml:space="preserve"> </w:t>
            </w:r>
          </w:p>
        </w:tc>
        <w:tc>
          <w:tcPr>
            <w:tcW w:w="744" w:type="dxa"/>
            <w:tcBorders>
              <w:top w:val="single" w:sz="4" w:space="0" w:color="auto"/>
              <w:left w:val="single" w:sz="4" w:space="0" w:color="auto"/>
              <w:bottom w:val="nil"/>
              <w:right w:val="single" w:sz="4" w:space="0" w:color="auto"/>
            </w:tcBorders>
          </w:tcPr>
          <w:p w14:paraId="1194F7CA" w14:textId="77777777" w:rsidR="00446084" w:rsidRPr="00F3312B" w:rsidRDefault="00446084" w:rsidP="00F3312B">
            <w:pPr>
              <w:spacing w:before="80" w:after="80" w:line="240" w:lineRule="auto"/>
              <w:jc w:val="right"/>
              <w:rPr>
                <w:rFonts w:cs="Arial"/>
                <w:szCs w:val="18"/>
              </w:rPr>
            </w:pPr>
            <w:r w:rsidRPr="00F3312B">
              <w:rPr>
                <w:rFonts w:cs="Arial"/>
                <w:szCs w:val="18"/>
              </w:rPr>
              <w:t>30</w:t>
            </w:r>
          </w:p>
        </w:tc>
        <w:tc>
          <w:tcPr>
            <w:tcW w:w="709" w:type="dxa"/>
            <w:tcBorders>
              <w:top w:val="single" w:sz="4" w:space="0" w:color="auto"/>
              <w:left w:val="single" w:sz="4" w:space="0" w:color="auto"/>
              <w:bottom w:val="nil"/>
              <w:right w:val="single" w:sz="4" w:space="0" w:color="auto"/>
            </w:tcBorders>
          </w:tcPr>
          <w:p w14:paraId="1AF2AF84" w14:textId="77777777" w:rsidR="00446084" w:rsidRPr="00F3312B" w:rsidRDefault="00446084" w:rsidP="00F3312B">
            <w:pPr>
              <w:spacing w:before="80" w:after="80" w:line="240" w:lineRule="auto"/>
              <w:jc w:val="right"/>
              <w:rPr>
                <w:rFonts w:cs="Arial"/>
                <w:szCs w:val="18"/>
              </w:rPr>
            </w:pPr>
          </w:p>
        </w:tc>
      </w:tr>
      <w:tr w:rsidR="00446084" w:rsidRPr="00324BD7" w14:paraId="618E1FF9" w14:textId="77777777" w:rsidTr="00F3312B">
        <w:tc>
          <w:tcPr>
            <w:tcW w:w="7903" w:type="dxa"/>
            <w:tcBorders>
              <w:top w:val="nil"/>
              <w:left w:val="single" w:sz="4" w:space="0" w:color="auto"/>
              <w:bottom w:val="single" w:sz="4" w:space="0" w:color="auto"/>
              <w:right w:val="single" w:sz="4" w:space="0" w:color="auto"/>
            </w:tcBorders>
          </w:tcPr>
          <w:p w14:paraId="2E5D32F3" w14:textId="187A7566" w:rsidR="00446084" w:rsidRPr="00F3312B" w:rsidRDefault="00446084" w:rsidP="00F3312B">
            <w:pPr>
              <w:spacing w:before="80" w:after="80" w:line="240" w:lineRule="auto"/>
              <w:rPr>
                <w:rFonts w:cs="Arial"/>
                <w:szCs w:val="18"/>
              </w:rPr>
            </w:pPr>
            <w:r w:rsidRPr="00F3312B">
              <w:rPr>
                <w:rFonts w:cs="Arial"/>
                <w:szCs w:val="18"/>
              </w:rPr>
              <w:t xml:space="preserve">(2b) RI UPR (Balance Sheet) </w:t>
            </w:r>
          </w:p>
          <w:p w14:paraId="48787336" w14:textId="0B6738F0" w:rsidR="009510E0" w:rsidRPr="00F3312B" w:rsidRDefault="00446084" w:rsidP="00F3312B">
            <w:pPr>
              <w:spacing w:before="80" w:after="80" w:line="240" w:lineRule="auto"/>
              <w:rPr>
                <w:rFonts w:cs="Arial"/>
                <w:strike/>
                <w:szCs w:val="18"/>
              </w:rPr>
            </w:pPr>
            <w:r w:rsidRPr="00F3312B">
              <w:rPr>
                <w:rFonts w:cs="Arial"/>
                <w:szCs w:val="18"/>
              </w:rPr>
              <w:t>Being the elimination of the UK GAAP RI that is not recognised under Solvency</w:t>
            </w:r>
            <w:r w:rsidR="00F238DE" w:rsidRPr="00F3312B">
              <w:rPr>
                <w:rFonts w:cs="Arial"/>
                <w:szCs w:val="18"/>
              </w:rPr>
              <w:t xml:space="preserve"> reporting</w:t>
            </w:r>
          </w:p>
        </w:tc>
        <w:tc>
          <w:tcPr>
            <w:tcW w:w="744" w:type="dxa"/>
            <w:tcBorders>
              <w:top w:val="nil"/>
              <w:left w:val="single" w:sz="4" w:space="0" w:color="auto"/>
              <w:bottom w:val="single" w:sz="4" w:space="0" w:color="auto"/>
              <w:right w:val="single" w:sz="4" w:space="0" w:color="auto"/>
            </w:tcBorders>
          </w:tcPr>
          <w:p w14:paraId="4FE8BDC7" w14:textId="77777777" w:rsidR="00446084" w:rsidRPr="00F3312B" w:rsidRDefault="00446084" w:rsidP="00F3312B">
            <w:pPr>
              <w:spacing w:before="80" w:after="80" w:line="240" w:lineRule="auto"/>
              <w:jc w:val="right"/>
              <w:rPr>
                <w:rFonts w:cs="Arial"/>
                <w:szCs w:val="18"/>
              </w:rPr>
            </w:pPr>
          </w:p>
        </w:tc>
        <w:tc>
          <w:tcPr>
            <w:tcW w:w="709" w:type="dxa"/>
            <w:tcBorders>
              <w:top w:val="nil"/>
              <w:left w:val="single" w:sz="4" w:space="0" w:color="auto"/>
              <w:bottom w:val="single" w:sz="4" w:space="0" w:color="auto"/>
              <w:right w:val="single" w:sz="4" w:space="0" w:color="auto"/>
            </w:tcBorders>
          </w:tcPr>
          <w:p w14:paraId="2EC548FF" w14:textId="77777777" w:rsidR="00446084" w:rsidRPr="00F3312B" w:rsidRDefault="00446084" w:rsidP="00F3312B">
            <w:pPr>
              <w:spacing w:before="80" w:after="80" w:line="240" w:lineRule="auto"/>
              <w:jc w:val="right"/>
              <w:rPr>
                <w:rFonts w:cs="Arial"/>
                <w:szCs w:val="18"/>
              </w:rPr>
            </w:pPr>
            <w:r w:rsidRPr="00F3312B">
              <w:rPr>
                <w:rFonts w:cs="Arial"/>
                <w:szCs w:val="18"/>
              </w:rPr>
              <w:t>30</w:t>
            </w:r>
          </w:p>
        </w:tc>
      </w:tr>
      <w:tr w:rsidR="00446084" w:rsidRPr="00324BD7" w14:paraId="42F666A3" w14:textId="77777777" w:rsidTr="00F3312B">
        <w:tc>
          <w:tcPr>
            <w:tcW w:w="7903" w:type="dxa"/>
            <w:tcBorders>
              <w:top w:val="single" w:sz="4" w:space="0" w:color="auto"/>
              <w:left w:val="single" w:sz="4" w:space="0" w:color="auto"/>
              <w:bottom w:val="nil"/>
              <w:right w:val="single" w:sz="4" w:space="0" w:color="auto"/>
            </w:tcBorders>
          </w:tcPr>
          <w:p w14:paraId="246D7C49" w14:textId="25D4C109" w:rsidR="00446084" w:rsidRPr="00F3312B" w:rsidRDefault="00446084" w:rsidP="00F3312B">
            <w:pPr>
              <w:spacing w:before="80" w:after="80" w:line="240" w:lineRule="auto"/>
              <w:rPr>
                <w:rFonts w:cs="Arial"/>
                <w:szCs w:val="18"/>
              </w:rPr>
            </w:pPr>
            <w:r w:rsidRPr="00F3312B">
              <w:rPr>
                <w:rFonts w:cs="Arial"/>
                <w:szCs w:val="18"/>
              </w:rPr>
              <w:t>(3a) Any Other Assets</w:t>
            </w:r>
            <w:r w:rsidR="00F51386" w:rsidRPr="00F3312B">
              <w:rPr>
                <w:rFonts w:cs="Arial"/>
                <w:szCs w:val="18"/>
              </w:rPr>
              <w:t xml:space="preserve"> </w:t>
            </w:r>
            <w:r w:rsidRPr="00F3312B">
              <w:rPr>
                <w:rFonts w:cs="Arial"/>
                <w:szCs w:val="18"/>
              </w:rPr>
              <w:t xml:space="preserve">- </w:t>
            </w:r>
          </w:p>
        </w:tc>
        <w:tc>
          <w:tcPr>
            <w:tcW w:w="744" w:type="dxa"/>
            <w:tcBorders>
              <w:top w:val="single" w:sz="4" w:space="0" w:color="auto"/>
              <w:left w:val="single" w:sz="4" w:space="0" w:color="auto"/>
              <w:bottom w:val="nil"/>
              <w:right w:val="single" w:sz="4" w:space="0" w:color="auto"/>
            </w:tcBorders>
          </w:tcPr>
          <w:p w14:paraId="1745B46B" w14:textId="77777777" w:rsidR="00446084" w:rsidRPr="00F3312B" w:rsidRDefault="00446084" w:rsidP="00F3312B">
            <w:pPr>
              <w:spacing w:before="80" w:after="80" w:line="240" w:lineRule="auto"/>
              <w:jc w:val="right"/>
              <w:rPr>
                <w:rFonts w:cs="Arial"/>
                <w:szCs w:val="18"/>
              </w:rPr>
            </w:pPr>
            <w:r w:rsidRPr="00F3312B">
              <w:rPr>
                <w:rFonts w:cs="Arial"/>
                <w:szCs w:val="18"/>
              </w:rPr>
              <w:t>10</w:t>
            </w:r>
          </w:p>
        </w:tc>
        <w:tc>
          <w:tcPr>
            <w:tcW w:w="709" w:type="dxa"/>
            <w:tcBorders>
              <w:top w:val="single" w:sz="4" w:space="0" w:color="auto"/>
              <w:left w:val="single" w:sz="4" w:space="0" w:color="auto"/>
              <w:bottom w:val="nil"/>
              <w:right w:val="single" w:sz="4" w:space="0" w:color="auto"/>
            </w:tcBorders>
          </w:tcPr>
          <w:p w14:paraId="682733AD" w14:textId="77777777" w:rsidR="00446084" w:rsidRPr="00F3312B" w:rsidRDefault="00446084" w:rsidP="00F3312B">
            <w:pPr>
              <w:spacing w:before="80" w:after="80" w:line="240" w:lineRule="auto"/>
              <w:jc w:val="right"/>
              <w:rPr>
                <w:rFonts w:cs="Arial"/>
                <w:szCs w:val="18"/>
              </w:rPr>
            </w:pPr>
          </w:p>
        </w:tc>
      </w:tr>
      <w:tr w:rsidR="00446084" w:rsidRPr="00324BD7" w14:paraId="6A86A115" w14:textId="77777777" w:rsidTr="00F3312B">
        <w:tc>
          <w:tcPr>
            <w:tcW w:w="7903" w:type="dxa"/>
            <w:tcBorders>
              <w:top w:val="nil"/>
              <w:left w:val="single" w:sz="4" w:space="0" w:color="auto"/>
              <w:bottom w:val="single" w:sz="4" w:space="0" w:color="auto"/>
              <w:right w:val="single" w:sz="4" w:space="0" w:color="auto"/>
            </w:tcBorders>
          </w:tcPr>
          <w:p w14:paraId="01CC5F8C" w14:textId="6DFE36A1" w:rsidR="00446084" w:rsidRPr="00F3312B" w:rsidRDefault="00446084" w:rsidP="00F3312B">
            <w:pPr>
              <w:spacing w:before="80" w:after="80" w:line="240" w:lineRule="auto"/>
              <w:rPr>
                <w:rFonts w:cs="Arial"/>
                <w:szCs w:val="18"/>
              </w:rPr>
            </w:pPr>
            <w:r w:rsidRPr="00F3312B">
              <w:rPr>
                <w:rFonts w:cs="Arial"/>
                <w:szCs w:val="18"/>
              </w:rPr>
              <w:t xml:space="preserve">(3b) RI UPR (Balance Sheet) </w:t>
            </w:r>
          </w:p>
          <w:p w14:paraId="187A39A8" w14:textId="77777777" w:rsidR="00446084" w:rsidRPr="00F3312B" w:rsidRDefault="00446084" w:rsidP="00F3312B">
            <w:pPr>
              <w:spacing w:before="80" w:after="80" w:line="240" w:lineRule="auto"/>
              <w:rPr>
                <w:rFonts w:cs="Arial"/>
                <w:szCs w:val="18"/>
              </w:rPr>
            </w:pPr>
            <w:r w:rsidRPr="00F3312B">
              <w:rPr>
                <w:rFonts w:cs="Arial"/>
                <w:szCs w:val="18"/>
              </w:rPr>
              <w:t>Being the RI UPR element not supported by correspondence business transferred to Other Assets (correspondence principle valid)</w:t>
            </w:r>
          </w:p>
        </w:tc>
        <w:tc>
          <w:tcPr>
            <w:tcW w:w="744" w:type="dxa"/>
            <w:tcBorders>
              <w:top w:val="nil"/>
              <w:left w:val="single" w:sz="4" w:space="0" w:color="auto"/>
              <w:bottom w:val="single" w:sz="4" w:space="0" w:color="auto"/>
              <w:right w:val="single" w:sz="4" w:space="0" w:color="auto"/>
            </w:tcBorders>
          </w:tcPr>
          <w:p w14:paraId="24029390" w14:textId="77777777" w:rsidR="00446084" w:rsidRPr="00F3312B" w:rsidRDefault="00446084" w:rsidP="00F3312B">
            <w:pPr>
              <w:spacing w:before="80" w:after="80" w:line="240" w:lineRule="auto"/>
              <w:jc w:val="right"/>
              <w:rPr>
                <w:rFonts w:cs="Arial"/>
                <w:szCs w:val="18"/>
              </w:rPr>
            </w:pPr>
          </w:p>
        </w:tc>
        <w:tc>
          <w:tcPr>
            <w:tcW w:w="709" w:type="dxa"/>
            <w:tcBorders>
              <w:top w:val="nil"/>
              <w:left w:val="single" w:sz="4" w:space="0" w:color="auto"/>
              <w:bottom w:val="single" w:sz="4" w:space="0" w:color="auto"/>
              <w:right w:val="single" w:sz="4" w:space="0" w:color="auto"/>
            </w:tcBorders>
          </w:tcPr>
          <w:p w14:paraId="11E3C844" w14:textId="77777777" w:rsidR="00446084" w:rsidRPr="00F3312B" w:rsidRDefault="00446084" w:rsidP="00F3312B">
            <w:pPr>
              <w:spacing w:before="80" w:after="80" w:line="240" w:lineRule="auto"/>
              <w:jc w:val="right"/>
              <w:rPr>
                <w:rFonts w:cs="Arial"/>
                <w:szCs w:val="18"/>
              </w:rPr>
            </w:pPr>
            <w:r w:rsidRPr="00F3312B">
              <w:rPr>
                <w:rFonts w:cs="Arial"/>
                <w:szCs w:val="18"/>
              </w:rPr>
              <w:t>10</w:t>
            </w:r>
          </w:p>
        </w:tc>
      </w:tr>
      <w:tr w:rsidR="00446084" w:rsidRPr="00324BD7" w14:paraId="609DFA47" w14:textId="77777777" w:rsidTr="00F3312B">
        <w:tc>
          <w:tcPr>
            <w:tcW w:w="7903" w:type="dxa"/>
            <w:tcBorders>
              <w:top w:val="single" w:sz="4" w:space="0" w:color="auto"/>
              <w:bottom w:val="single" w:sz="4" w:space="0" w:color="auto"/>
            </w:tcBorders>
            <w:shd w:val="clear" w:color="auto" w:fill="F2F2F2" w:themeFill="background1" w:themeFillShade="F2"/>
          </w:tcPr>
          <w:p w14:paraId="49DE8E4D" w14:textId="19DBF1E4" w:rsidR="00446084" w:rsidRPr="00F3312B" w:rsidRDefault="00446084" w:rsidP="00F3312B">
            <w:pPr>
              <w:spacing w:before="80" w:after="80" w:line="240" w:lineRule="auto"/>
              <w:rPr>
                <w:rFonts w:cs="Arial"/>
                <w:szCs w:val="18"/>
              </w:rPr>
            </w:pPr>
            <w:r w:rsidRPr="00F3312B">
              <w:rPr>
                <w:rFonts w:cs="Arial"/>
                <w:szCs w:val="18"/>
              </w:rPr>
              <w:t>SOLVENCY ENTRIES – AFTER UPDATE (AND THUS BASIS NOW TO BE USED)</w:t>
            </w:r>
          </w:p>
        </w:tc>
        <w:tc>
          <w:tcPr>
            <w:tcW w:w="744" w:type="dxa"/>
            <w:tcBorders>
              <w:top w:val="single" w:sz="4" w:space="0" w:color="auto"/>
              <w:bottom w:val="single" w:sz="4" w:space="0" w:color="auto"/>
            </w:tcBorders>
            <w:shd w:val="clear" w:color="auto" w:fill="F2F2F2" w:themeFill="background1" w:themeFillShade="F2"/>
          </w:tcPr>
          <w:p w14:paraId="7A05FA7C" w14:textId="77777777" w:rsidR="00446084" w:rsidRPr="00F3312B" w:rsidRDefault="00446084" w:rsidP="00F3312B">
            <w:pPr>
              <w:spacing w:before="80" w:after="80" w:line="240" w:lineRule="auto"/>
              <w:jc w:val="right"/>
              <w:rPr>
                <w:rFonts w:cs="Arial"/>
                <w:szCs w:val="18"/>
              </w:rPr>
            </w:pPr>
          </w:p>
        </w:tc>
        <w:tc>
          <w:tcPr>
            <w:tcW w:w="709" w:type="dxa"/>
            <w:tcBorders>
              <w:top w:val="single" w:sz="4" w:space="0" w:color="auto"/>
              <w:bottom w:val="single" w:sz="4" w:space="0" w:color="auto"/>
            </w:tcBorders>
            <w:shd w:val="clear" w:color="auto" w:fill="F2F2F2" w:themeFill="background1" w:themeFillShade="F2"/>
          </w:tcPr>
          <w:p w14:paraId="52675112" w14:textId="77777777" w:rsidR="00446084" w:rsidRPr="00F3312B" w:rsidRDefault="00446084" w:rsidP="00F3312B">
            <w:pPr>
              <w:spacing w:before="80" w:after="80" w:line="240" w:lineRule="auto"/>
              <w:jc w:val="right"/>
              <w:rPr>
                <w:rFonts w:cs="Arial"/>
                <w:szCs w:val="18"/>
              </w:rPr>
            </w:pPr>
          </w:p>
        </w:tc>
      </w:tr>
      <w:tr w:rsidR="00446084" w:rsidRPr="00324BD7" w14:paraId="54CD0651" w14:textId="77777777" w:rsidTr="00F3312B">
        <w:tc>
          <w:tcPr>
            <w:tcW w:w="7903" w:type="dxa"/>
            <w:tcBorders>
              <w:top w:val="single" w:sz="4" w:space="0" w:color="auto"/>
              <w:left w:val="single" w:sz="4" w:space="0" w:color="auto"/>
              <w:bottom w:val="nil"/>
              <w:right w:val="single" w:sz="4" w:space="0" w:color="auto"/>
            </w:tcBorders>
          </w:tcPr>
          <w:p w14:paraId="27974E5C" w14:textId="4F057C2F" w:rsidR="00446084" w:rsidRPr="00F3312B" w:rsidRDefault="00446084" w:rsidP="00F3312B">
            <w:pPr>
              <w:spacing w:before="80" w:after="80" w:line="240" w:lineRule="auto"/>
              <w:rPr>
                <w:rFonts w:cs="Arial"/>
                <w:strike/>
                <w:szCs w:val="18"/>
              </w:rPr>
            </w:pPr>
            <w:r w:rsidRPr="00F3312B">
              <w:rPr>
                <w:rFonts w:cs="Arial"/>
                <w:szCs w:val="18"/>
              </w:rPr>
              <w:t xml:space="preserve">(4a) Excess of assets over liabilities (members’ balances) – </w:t>
            </w:r>
            <w:r w:rsidR="00B62CD1" w:rsidRPr="00F3312B">
              <w:rPr>
                <w:rFonts w:cs="Arial"/>
                <w:szCs w:val="18"/>
              </w:rPr>
              <w:t>Solvency</w:t>
            </w:r>
            <w:r w:rsidR="00F238DE" w:rsidRPr="00F3312B">
              <w:rPr>
                <w:rFonts w:cs="Arial"/>
                <w:szCs w:val="18"/>
              </w:rPr>
              <w:t xml:space="preserve"> </w:t>
            </w:r>
            <w:r w:rsidR="00B62CD1" w:rsidRPr="00F3312B">
              <w:rPr>
                <w:rFonts w:cs="Arial"/>
                <w:szCs w:val="18"/>
              </w:rPr>
              <w:t>Balance Sheet Reconciliation</w:t>
            </w:r>
            <w:r w:rsidRPr="00F3312B">
              <w:rPr>
                <w:rFonts w:cs="Arial"/>
                <w:szCs w:val="18"/>
              </w:rPr>
              <w:t xml:space="preserve"> line </w:t>
            </w:r>
            <w:r w:rsidR="00316D8A" w:rsidRPr="00F3312B">
              <w:rPr>
                <w:rFonts w:cs="Arial"/>
                <w:szCs w:val="18"/>
              </w:rPr>
              <w:t>18</w:t>
            </w:r>
            <w:r w:rsidRPr="00F3312B">
              <w:rPr>
                <w:rFonts w:cs="Arial"/>
                <w:szCs w:val="18"/>
              </w:rPr>
              <w:t xml:space="preserve"> </w:t>
            </w:r>
          </w:p>
        </w:tc>
        <w:tc>
          <w:tcPr>
            <w:tcW w:w="744" w:type="dxa"/>
            <w:tcBorders>
              <w:top w:val="single" w:sz="4" w:space="0" w:color="auto"/>
              <w:left w:val="single" w:sz="4" w:space="0" w:color="auto"/>
              <w:bottom w:val="nil"/>
              <w:right w:val="single" w:sz="4" w:space="0" w:color="auto"/>
            </w:tcBorders>
          </w:tcPr>
          <w:p w14:paraId="72A5EDB8" w14:textId="77777777" w:rsidR="00446084" w:rsidRPr="00F3312B" w:rsidRDefault="00446084" w:rsidP="00F3312B">
            <w:pPr>
              <w:spacing w:before="80" w:after="80" w:line="240" w:lineRule="auto"/>
              <w:jc w:val="right"/>
              <w:rPr>
                <w:rFonts w:cs="Arial"/>
                <w:szCs w:val="18"/>
              </w:rPr>
            </w:pPr>
            <w:r w:rsidRPr="00F3312B">
              <w:rPr>
                <w:rFonts w:cs="Arial"/>
                <w:szCs w:val="18"/>
              </w:rPr>
              <w:t>40</w:t>
            </w:r>
          </w:p>
        </w:tc>
        <w:tc>
          <w:tcPr>
            <w:tcW w:w="709" w:type="dxa"/>
            <w:tcBorders>
              <w:top w:val="single" w:sz="4" w:space="0" w:color="auto"/>
              <w:left w:val="single" w:sz="4" w:space="0" w:color="auto"/>
              <w:bottom w:val="nil"/>
              <w:right w:val="single" w:sz="4" w:space="0" w:color="auto"/>
            </w:tcBorders>
          </w:tcPr>
          <w:p w14:paraId="629DA4ED" w14:textId="77777777" w:rsidR="00446084" w:rsidRPr="00F3312B" w:rsidRDefault="00446084" w:rsidP="00F3312B">
            <w:pPr>
              <w:spacing w:before="80" w:after="80" w:line="240" w:lineRule="auto"/>
              <w:jc w:val="right"/>
              <w:rPr>
                <w:rFonts w:cs="Arial"/>
                <w:szCs w:val="18"/>
              </w:rPr>
            </w:pPr>
          </w:p>
        </w:tc>
      </w:tr>
      <w:tr w:rsidR="00446084" w:rsidRPr="00324BD7" w14:paraId="2E8B46BF" w14:textId="77777777" w:rsidTr="00F3312B">
        <w:tc>
          <w:tcPr>
            <w:tcW w:w="7903" w:type="dxa"/>
            <w:tcBorders>
              <w:top w:val="nil"/>
              <w:left w:val="single" w:sz="4" w:space="0" w:color="auto"/>
              <w:bottom w:val="single" w:sz="4" w:space="0" w:color="auto"/>
              <w:right w:val="single" w:sz="4" w:space="0" w:color="auto"/>
            </w:tcBorders>
          </w:tcPr>
          <w:p w14:paraId="587832AE" w14:textId="2079E6F3" w:rsidR="00446084" w:rsidRPr="00F3312B" w:rsidRDefault="00446084" w:rsidP="00F3312B">
            <w:pPr>
              <w:spacing w:before="80" w:after="80" w:line="240" w:lineRule="auto"/>
              <w:rPr>
                <w:rFonts w:cs="Arial"/>
                <w:szCs w:val="18"/>
              </w:rPr>
            </w:pPr>
            <w:r w:rsidRPr="00F3312B">
              <w:rPr>
                <w:rFonts w:cs="Arial"/>
                <w:szCs w:val="18"/>
              </w:rPr>
              <w:t xml:space="preserve">(4b) RI UPR (Balance Sheet) </w:t>
            </w:r>
          </w:p>
          <w:p w14:paraId="163D3493" w14:textId="593A0FA5" w:rsidR="00446084" w:rsidRPr="00F3312B" w:rsidRDefault="00446084" w:rsidP="00F3312B">
            <w:pPr>
              <w:spacing w:before="80" w:after="80" w:line="240" w:lineRule="auto"/>
              <w:rPr>
                <w:rFonts w:cs="Arial"/>
                <w:szCs w:val="18"/>
              </w:rPr>
            </w:pPr>
            <w:r w:rsidRPr="00F3312B">
              <w:rPr>
                <w:rFonts w:cs="Arial"/>
                <w:szCs w:val="18"/>
              </w:rPr>
              <w:t>Being the elimination of the UK GAAP RI that is not recognised under Solvency (corresponding principle no longer valid)</w:t>
            </w:r>
          </w:p>
        </w:tc>
        <w:tc>
          <w:tcPr>
            <w:tcW w:w="744" w:type="dxa"/>
            <w:tcBorders>
              <w:top w:val="nil"/>
              <w:left w:val="single" w:sz="4" w:space="0" w:color="auto"/>
              <w:bottom w:val="single" w:sz="4" w:space="0" w:color="auto"/>
              <w:right w:val="single" w:sz="4" w:space="0" w:color="auto"/>
            </w:tcBorders>
          </w:tcPr>
          <w:p w14:paraId="4516AC71" w14:textId="77777777" w:rsidR="00446084" w:rsidRPr="00F3312B" w:rsidRDefault="00446084" w:rsidP="00F3312B">
            <w:pPr>
              <w:spacing w:before="80" w:after="80" w:line="240" w:lineRule="auto"/>
              <w:jc w:val="right"/>
              <w:rPr>
                <w:rFonts w:cs="Arial"/>
                <w:szCs w:val="18"/>
              </w:rPr>
            </w:pPr>
          </w:p>
        </w:tc>
        <w:tc>
          <w:tcPr>
            <w:tcW w:w="709" w:type="dxa"/>
            <w:tcBorders>
              <w:top w:val="nil"/>
              <w:left w:val="single" w:sz="4" w:space="0" w:color="auto"/>
              <w:bottom w:val="single" w:sz="4" w:space="0" w:color="auto"/>
              <w:right w:val="single" w:sz="4" w:space="0" w:color="auto"/>
            </w:tcBorders>
          </w:tcPr>
          <w:p w14:paraId="11E23801" w14:textId="77777777" w:rsidR="00446084" w:rsidRPr="00F3312B" w:rsidRDefault="00446084" w:rsidP="00F3312B">
            <w:pPr>
              <w:spacing w:before="80" w:after="80" w:line="240" w:lineRule="auto"/>
              <w:jc w:val="right"/>
              <w:rPr>
                <w:rFonts w:cs="Arial"/>
                <w:szCs w:val="18"/>
              </w:rPr>
            </w:pPr>
            <w:r w:rsidRPr="00F3312B">
              <w:rPr>
                <w:rFonts w:cs="Arial"/>
                <w:szCs w:val="18"/>
              </w:rPr>
              <w:t>40</w:t>
            </w:r>
          </w:p>
        </w:tc>
      </w:tr>
    </w:tbl>
    <w:p w14:paraId="3025D2B2" w14:textId="77777777" w:rsidR="00446084" w:rsidRPr="00324BD7" w:rsidRDefault="00446084" w:rsidP="00446084">
      <w:pPr>
        <w:spacing w:before="120" w:line="280" w:lineRule="atLeast"/>
        <w:ind w:left="11"/>
        <w:rPr>
          <w:rFonts w:cs="Arial"/>
          <w:sz w:val="22"/>
          <w:szCs w:val="22"/>
        </w:rPr>
      </w:pPr>
      <w:r w:rsidRPr="00324BD7">
        <w:rPr>
          <w:rFonts w:cs="Arial"/>
          <w:sz w:val="22"/>
          <w:szCs w:val="22"/>
        </w:rPr>
        <w:lastRenderedPageBreak/>
        <w:t>Assuming that the RI UPR has also not been paid, hence in the UK GAAP balance there is RI payable amount of £40m, the following additional entries would be expected:</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709"/>
        <w:gridCol w:w="709"/>
      </w:tblGrid>
      <w:tr w:rsidR="00446084" w:rsidRPr="00324BD7" w14:paraId="0B67E7F3" w14:textId="77777777" w:rsidTr="00F3312B">
        <w:tc>
          <w:tcPr>
            <w:tcW w:w="7938" w:type="dxa"/>
            <w:tcBorders>
              <w:top w:val="single" w:sz="4" w:space="0" w:color="auto"/>
              <w:bottom w:val="single" w:sz="4" w:space="0" w:color="auto"/>
            </w:tcBorders>
            <w:shd w:val="clear" w:color="auto" w:fill="F2F2F2" w:themeFill="background1" w:themeFillShade="F2"/>
          </w:tcPr>
          <w:p w14:paraId="3610D12E" w14:textId="3400D846" w:rsidR="00446084" w:rsidRPr="00F3312B" w:rsidRDefault="00446084" w:rsidP="00F3312B">
            <w:pPr>
              <w:spacing w:before="80" w:after="80" w:line="240" w:lineRule="auto"/>
              <w:rPr>
                <w:rFonts w:cs="Arial"/>
                <w:szCs w:val="18"/>
              </w:rPr>
            </w:pPr>
            <w:r w:rsidRPr="00F3312B">
              <w:rPr>
                <w:rFonts w:cs="Arial"/>
                <w:szCs w:val="18"/>
              </w:rPr>
              <w:t>SOLVENCY ENTRIES – BEFORE UPDATE (AND THUS SUPERCEDED)</w:t>
            </w:r>
          </w:p>
        </w:tc>
        <w:tc>
          <w:tcPr>
            <w:tcW w:w="709" w:type="dxa"/>
            <w:tcBorders>
              <w:top w:val="single" w:sz="4" w:space="0" w:color="auto"/>
              <w:bottom w:val="single" w:sz="4" w:space="0" w:color="auto"/>
            </w:tcBorders>
            <w:shd w:val="clear" w:color="auto" w:fill="F2F2F2" w:themeFill="background1" w:themeFillShade="F2"/>
          </w:tcPr>
          <w:p w14:paraId="3E35955F" w14:textId="77777777" w:rsidR="00446084" w:rsidRPr="00F3312B" w:rsidRDefault="00446084" w:rsidP="00F3312B">
            <w:pPr>
              <w:spacing w:before="80" w:after="80" w:line="240" w:lineRule="auto"/>
              <w:jc w:val="right"/>
              <w:rPr>
                <w:rFonts w:cs="Arial"/>
                <w:szCs w:val="18"/>
              </w:rPr>
            </w:pPr>
          </w:p>
        </w:tc>
        <w:tc>
          <w:tcPr>
            <w:tcW w:w="709" w:type="dxa"/>
            <w:tcBorders>
              <w:top w:val="single" w:sz="4" w:space="0" w:color="auto"/>
              <w:bottom w:val="single" w:sz="4" w:space="0" w:color="auto"/>
            </w:tcBorders>
            <w:shd w:val="clear" w:color="auto" w:fill="F2F2F2" w:themeFill="background1" w:themeFillShade="F2"/>
          </w:tcPr>
          <w:p w14:paraId="28B0382D" w14:textId="77777777" w:rsidR="00446084" w:rsidRPr="00F3312B" w:rsidRDefault="00446084" w:rsidP="00F3312B">
            <w:pPr>
              <w:spacing w:before="80" w:after="80" w:line="240" w:lineRule="auto"/>
              <w:jc w:val="right"/>
              <w:rPr>
                <w:rFonts w:cs="Arial"/>
                <w:szCs w:val="18"/>
              </w:rPr>
            </w:pPr>
          </w:p>
        </w:tc>
      </w:tr>
      <w:tr w:rsidR="00446084" w:rsidRPr="00324BD7" w14:paraId="6225EBF1" w14:textId="77777777" w:rsidTr="002B0807">
        <w:tc>
          <w:tcPr>
            <w:tcW w:w="7938" w:type="dxa"/>
            <w:tcBorders>
              <w:top w:val="single" w:sz="4" w:space="0" w:color="auto"/>
              <w:left w:val="single" w:sz="4" w:space="0" w:color="auto"/>
              <w:bottom w:val="nil"/>
              <w:right w:val="single" w:sz="4" w:space="0" w:color="auto"/>
            </w:tcBorders>
          </w:tcPr>
          <w:p w14:paraId="2C3A0156" w14:textId="7F9DC3E0" w:rsidR="00446084" w:rsidRPr="00F3312B" w:rsidRDefault="00446084" w:rsidP="00F3312B">
            <w:pPr>
              <w:spacing w:before="80" w:after="80" w:line="240" w:lineRule="auto"/>
              <w:rPr>
                <w:rFonts w:cs="Arial"/>
                <w:szCs w:val="18"/>
              </w:rPr>
            </w:pPr>
            <w:r w:rsidRPr="00F3312B">
              <w:rPr>
                <w:rFonts w:cs="Arial"/>
                <w:szCs w:val="18"/>
              </w:rPr>
              <w:t xml:space="preserve">(5a) Reinsurance payables </w:t>
            </w:r>
          </w:p>
          <w:p w14:paraId="48521297" w14:textId="62707324" w:rsidR="00446084" w:rsidRPr="00F3312B" w:rsidRDefault="00446084" w:rsidP="00F3312B">
            <w:pPr>
              <w:spacing w:before="80" w:after="80" w:line="240" w:lineRule="auto"/>
              <w:rPr>
                <w:rFonts w:cs="Arial"/>
                <w:strike/>
                <w:szCs w:val="18"/>
              </w:rPr>
            </w:pPr>
            <w:r w:rsidRPr="00F3312B">
              <w:rPr>
                <w:rFonts w:cs="Arial"/>
                <w:szCs w:val="18"/>
              </w:rPr>
              <w:t xml:space="preserve">(5b) Reinsurance recoverables (Reinsurers' share of technical provisions) - </w:t>
            </w:r>
          </w:p>
        </w:tc>
        <w:tc>
          <w:tcPr>
            <w:tcW w:w="709" w:type="dxa"/>
            <w:tcBorders>
              <w:top w:val="single" w:sz="4" w:space="0" w:color="auto"/>
              <w:left w:val="single" w:sz="4" w:space="0" w:color="auto"/>
              <w:bottom w:val="nil"/>
              <w:right w:val="single" w:sz="4" w:space="0" w:color="auto"/>
            </w:tcBorders>
          </w:tcPr>
          <w:p w14:paraId="0F9FF63D" w14:textId="77777777" w:rsidR="00446084" w:rsidRPr="00F3312B" w:rsidRDefault="00446084" w:rsidP="00F3312B">
            <w:pPr>
              <w:spacing w:before="80" w:after="80" w:line="240" w:lineRule="auto"/>
              <w:jc w:val="right"/>
              <w:rPr>
                <w:rFonts w:cs="Arial"/>
                <w:szCs w:val="18"/>
              </w:rPr>
            </w:pPr>
            <w:r w:rsidRPr="00F3312B">
              <w:rPr>
                <w:rFonts w:cs="Arial"/>
                <w:szCs w:val="18"/>
              </w:rPr>
              <w:t>30</w:t>
            </w:r>
          </w:p>
        </w:tc>
        <w:tc>
          <w:tcPr>
            <w:tcW w:w="709" w:type="dxa"/>
            <w:tcBorders>
              <w:top w:val="single" w:sz="4" w:space="0" w:color="auto"/>
              <w:left w:val="single" w:sz="4" w:space="0" w:color="auto"/>
              <w:bottom w:val="nil"/>
              <w:right w:val="single" w:sz="4" w:space="0" w:color="auto"/>
            </w:tcBorders>
          </w:tcPr>
          <w:p w14:paraId="06B62B4D" w14:textId="77777777" w:rsidR="00446084" w:rsidRPr="00F3312B" w:rsidRDefault="00446084" w:rsidP="00F3312B">
            <w:pPr>
              <w:spacing w:before="80" w:after="80" w:line="240" w:lineRule="auto"/>
              <w:jc w:val="right"/>
              <w:rPr>
                <w:rFonts w:cs="Arial"/>
                <w:szCs w:val="18"/>
              </w:rPr>
            </w:pPr>
          </w:p>
          <w:p w14:paraId="15A7D1BD" w14:textId="77777777" w:rsidR="00446084" w:rsidRPr="00F3312B" w:rsidRDefault="00446084" w:rsidP="00F3312B">
            <w:pPr>
              <w:spacing w:before="80" w:after="80" w:line="240" w:lineRule="auto"/>
              <w:jc w:val="right"/>
              <w:rPr>
                <w:rFonts w:cs="Arial"/>
                <w:szCs w:val="18"/>
              </w:rPr>
            </w:pPr>
            <w:r w:rsidRPr="00F3312B">
              <w:rPr>
                <w:rFonts w:cs="Arial"/>
                <w:szCs w:val="18"/>
              </w:rPr>
              <w:t>30</w:t>
            </w:r>
          </w:p>
        </w:tc>
      </w:tr>
      <w:tr w:rsidR="00446084" w:rsidRPr="00324BD7" w14:paraId="47B21FD9" w14:textId="77777777" w:rsidTr="002B0807">
        <w:tc>
          <w:tcPr>
            <w:tcW w:w="7938" w:type="dxa"/>
            <w:tcBorders>
              <w:top w:val="nil"/>
              <w:left w:val="single" w:sz="4" w:space="0" w:color="auto"/>
              <w:bottom w:val="single" w:sz="4" w:space="0" w:color="auto"/>
              <w:right w:val="single" w:sz="4" w:space="0" w:color="auto"/>
            </w:tcBorders>
          </w:tcPr>
          <w:p w14:paraId="63D963CD" w14:textId="77777777" w:rsidR="00446084" w:rsidRPr="00F3312B" w:rsidRDefault="00446084" w:rsidP="00F3312B">
            <w:pPr>
              <w:spacing w:before="80" w:after="80" w:line="240" w:lineRule="auto"/>
              <w:rPr>
                <w:rFonts w:cs="Arial"/>
                <w:szCs w:val="18"/>
              </w:rPr>
            </w:pPr>
            <w:r w:rsidRPr="00F3312B">
              <w:rPr>
                <w:rFonts w:cs="Arial"/>
                <w:szCs w:val="18"/>
              </w:rPr>
              <w:t>Being transfer of reinsurance payables to technical provisions (correspondence principle applies)</w:t>
            </w:r>
          </w:p>
        </w:tc>
        <w:tc>
          <w:tcPr>
            <w:tcW w:w="709" w:type="dxa"/>
            <w:tcBorders>
              <w:top w:val="nil"/>
              <w:left w:val="single" w:sz="4" w:space="0" w:color="auto"/>
              <w:bottom w:val="single" w:sz="4" w:space="0" w:color="auto"/>
              <w:right w:val="single" w:sz="4" w:space="0" w:color="auto"/>
            </w:tcBorders>
          </w:tcPr>
          <w:p w14:paraId="25D694DA" w14:textId="77777777" w:rsidR="00446084" w:rsidRPr="00F3312B" w:rsidRDefault="00446084" w:rsidP="00F3312B">
            <w:pPr>
              <w:spacing w:before="80" w:after="80" w:line="240" w:lineRule="auto"/>
              <w:jc w:val="right"/>
              <w:rPr>
                <w:rFonts w:cs="Arial"/>
                <w:szCs w:val="18"/>
              </w:rPr>
            </w:pPr>
          </w:p>
        </w:tc>
        <w:tc>
          <w:tcPr>
            <w:tcW w:w="709" w:type="dxa"/>
            <w:tcBorders>
              <w:top w:val="nil"/>
              <w:left w:val="single" w:sz="4" w:space="0" w:color="auto"/>
              <w:bottom w:val="single" w:sz="4" w:space="0" w:color="auto"/>
              <w:right w:val="single" w:sz="4" w:space="0" w:color="auto"/>
            </w:tcBorders>
          </w:tcPr>
          <w:p w14:paraId="34193FD2" w14:textId="77777777" w:rsidR="00446084" w:rsidRPr="00F3312B" w:rsidRDefault="00446084" w:rsidP="00F3312B">
            <w:pPr>
              <w:spacing w:before="80" w:after="80" w:line="240" w:lineRule="auto"/>
              <w:jc w:val="right"/>
              <w:rPr>
                <w:rFonts w:cs="Arial"/>
                <w:szCs w:val="18"/>
              </w:rPr>
            </w:pPr>
          </w:p>
        </w:tc>
      </w:tr>
      <w:tr w:rsidR="00446084" w:rsidRPr="00324BD7" w14:paraId="4E6308D8" w14:textId="77777777" w:rsidTr="00F3312B">
        <w:tc>
          <w:tcPr>
            <w:tcW w:w="7938" w:type="dxa"/>
            <w:tcBorders>
              <w:top w:val="single" w:sz="4" w:space="0" w:color="auto"/>
              <w:bottom w:val="single" w:sz="4" w:space="0" w:color="auto"/>
            </w:tcBorders>
            <w:shd w:val="clear" w:color="auto" w:fill="F2F2F2" w:themeFill="background1" w:themeFillShade="F2"/>
          </w:tcPr>
          <w:p w14:paraId="177CA964" w14:textId="38A39015" w:rsidR="00446084" w:rsidRPr="00F3312B" w:rsidRDefault="00446084" w:rsidP="00F3312B">
            <w:pPr>
              <w:spacing w:before="80" w:after="80" w:line="240" w:lineRule="auto"/>
              <w:rPr>
                <w:rFonts w:cs="Arial"/>
                <w:szCs w:val="18"/>
              </w:rPr>
            </w:pPr>
            <w:r w:rsidRPr="00F3312B">
              <w:rPr>
                <w:rFonts w:cs="Arial"/>
                <w:szCs w:val="18"/>
              </w:rPr>
              <w:t>SOLVENCY ENTRIES – AFTER UPDATE (AND THUS BASIS NOW TO BE USED)</w:t>
            </w:r>
          </w:p>
        </w:tc>
        <w:tc>
          <w:tcPr>
            <w:tcW w:w="709" w:type="dxa"/>
            <w:tcBorders>
              <w:top w:val="single" w:sz="4" w:space="0" w:color="auto"/>
              <w:bottom w:val="single" w:sz="4" w:space="0" w:color="auto"/>
            </w:tcBorders>
            <w:shd w:val="clear" w:color="auto" w:fill="F2F2F2" w:themeFill="background1" w:themeFillShade="F2"/>
          </w:tcPr>
          <w:p w14:paraId="247B27D6" w14:textId="77777777" w:rsidR="00446084" w:rsidRPr="00F3312B" w:rsidRDefault="00446084" w:rsidP="00F3312B">
            <w:pPr>
              <w:spacing w:before="80" w:after="80" w:line="240" w:lineRule="auto"/>
              <w:jc w:val="right"/>
              <w:rPr>
                <w:rFonts w:cs="Arial"/>
                <w:szCs w:val="18"/>
              </w:rPr>
            </w:pPr>
          </w:p>
        </w:tc>
        <w:tc>
          <w:tcPr>
            <w:tcW w:w="709" w:type="dxa"/>
            <w:tcBorders>
              <w:top w:val="single" w:sz="4" w:space="0" w:color="auto"/>
              <w:bottom w:val="single" w:sz="4" w:space="0" w:color="auto"/>
            </w:tcBorders>
            <w:shd w:val="clear" w:color="auto" w:fill="F2F2F2" w:themeFill="background1" w:themeFillShade="F2"/>
          </w:tcPr>
          <w:p w14:paraId="23B413A9" w14:textId="77777777" w:rsidR="00446084" w:rsidRPr="00F3312B" w:rsidRDefault="00446084" w:rsidP="00F3312B">
            <w:pPr>
              <w:spacing w:before="80" w:after="80" w:line="240" w:lineRule="auto"/>
              <w:jc w:val="right"/>
              <w:rPr>
                <w:rFonts w:cs="Arial"/>
                <w:szCs w:val="18"/>
              </w:rPr>
            </w:pPr>
          </w:p>
        </w:tc>
      </w:tr>
      <w:tr w:rsidR="00446084" w:rsidRPr="00324BD7" w14:paraId="0400AE05" w14:textId="77777777" w:rsidTr="00F3312B">
        <w:tc>
          <w:tcPr>
            <w:tcW w:w="7938" w:type="dxa"/>
            <w:tcBorders>
              <w:top w:val="single" w:sz="4" w:space="0" w:color="auto"/>
              <w:left w:val="single" w:sz="4" w:space="0" w:color="auto"/>
              <w:bottom w:val="single" w:sz="4" w:space="0" w:color="auto"/>
              <w:right w:val="single" w:sz="4" w:space="0" w:color="auto"/>
            </w:tcBorders>
          </w:tcPr>
          <w:p w14:paraId="48572720" w14:textId="0EFE1535" w:rsidR="00446084" w:rsidRPr="00F3312B" w:rsidRDefault="00446084" w:rsidP="00F3312B">
            <w:pPr>
              <w:spacing w:before="80" w:after="80" w:line="240" w:lineRule="auto"/>
              <w:rPr>
                <w:rFonts w:cs="Arial"/>
                <w:szCs w:val="18"/>
              </w:rPr>
            </w:pPr>
            <w:r w:rsidRPr="00F3312B">
              <w:rPr>
                <w:rFonts w:cs="Arial"/>
                <w:szCs w:val="18"/>
              </w:rPr>
              <w:t xml:space="preserve">(6a) Reinsurance payables </w:t>
            </w:r>
          </w:p>
          <w:p w14:paraId="5284DC9A" w14:textId="44803FA9" w:rsidR="00446084" w:rsidRPr="00F3312B" w:rsidRDefault="00446084" w:rsidP="00F3312B">
            <w:pPr>
              <w:spacing w:before="80" w:after="80" w:line="240" w:lineRule="auto"/>
              <w:rPr>
                <w:rFonts w:cs="Arial"/>
                <w:szCs w:val="18"/>
              </w:rPr>
            </w:pPr>
            <w:r w:rsidRPr="00F3312B">
              <w:rPr>
                <w:rFonts w:cs="Arial"/>
                <w:szCs w:val="18"/>
              </w:rPr>
              <w:t xml:space="preserve">(6b) Reinsurance recoverables (Reinsurers' share of technical provisions) - </w:t>
            </w:r>
          </w:p>
          <w:p w14:paraId="4E0FE1F3" w14:textId="07171316" w:rsidR="00446084" w:rsidRPr="00F3312B" w:rsidRDefault="00446084" w:rsidP="00F3312B">
            <w:pPr>
              <w:spacing w:before="80" w:after="80" w:line="240" w:lineRule="auto"/>
              <w:rPr>
                <w:rFonts w:cs="Arial"/>
                <w:szCs w:val="18"/>
              </w:rPr>
            </w:pPr>
            <w:r w:rsidRPr="00F3312B">
              <w:rPr>
                <w:rFonts w:cs="Arial"/>
                <w:szCs w:val="18"/>
              </w:rPr>
              <w:t>Being transfer of reinsurance payables to technical provisions (correspondence principle does not apply</w:t>
            </w:r>
          </w:p>
        </w:tc>
        <w:tc>
          <w:tcPr>
            <w:tcW w:w="709" w:type="dxa"/>
            <w:tcBorders>
              <w:top w:val="single" w:sz="4" w:space="0" w:color="auto"/>
              <w:left w:val="single" w:sz="4" w:space="0" w:color="auto"/>
              <w:bottom w:val="single" w:sz="4" w:space="0" w:color="auto"/>
              <w:right w:val="single" w:sz="4" w:space="0" w:color="auto"/>
            </w:tcBorders>
          </w:tcPr>
          <w:p w14:paraId="525C1798" w14:textId="77777777" w:rsidR="00446084" w:rsidRPr="00F3312B" w:rsidRDefault="00446084" w:rsidP="00F3312B">
            <w:pPr>
              <w:spacing w:before="80" w:after="80" w:line="240" w:lineRule="auto"/>
              <w:jc w:val="right"/>
              <w:rPr>
                <w:rFonts w:cs="Arial"/>
                <w:szCs w:val="18"/>
              </w:rPr>
            </w:pPr>
            <w:r w:rsidRPr="00F3312B">
              <w:rPr>
                <w:rFonts w:cs="Arial"/>
                <w:szCs w:val="18"/>
              </w:rPr>
              <w:t>40</w:t>
            </w:r>
          </w:p>
        </w:tc>
        <w:tc>
          <w:tcPr>
            <w:tcW w:w="709" w:type="dxa"/>
            <w:tcBorders>
              <w:top w:val="single" w:sz="4" w:space="0" w:color="auto"/>
              <w:left w:val="single" w:sz="4" w:space="0" w:color="auto"/>
              <w:bottom w:val="single" w:sz="4" w:space="0" w:color="auto"/>
              <w:right w:val="single" w:sz="4" w:space="0" w:color="auto"/>
            </w:tcBorders>
          </w:tcPr>
          <w:p w14:paraId="320206C6" w14:textId="77777777" w:rsidR="00446084" w:rsidRPr="00F3312B" w:rsidRDefault="00446084" w:rsidP="00F3312B">
            <w:pPr>
              <w:spacing w:before="80" w:after="80" w:line="240" w:lineRule="auto"/>
              <w:jc w:val="right"/>
              <w:rPr>
                <w:rFonts w:cs="Arial"/>
                <w:szCs w:val="18"/>
              </w:rPr>
            </w:pPr>
          </w:p>
          <w:p w14:paraId="12CAAAA1" w14:textId="77777777" w:rsidR="00446084" w:rsidRPr="00F3312B" w:rsidRDefault="00446084" w:rsidP="00F3312B">
            <w:pPr>
              <w:spacing w:before="80" w:after="80" w:line="240" w:lineRule="auto"/>
              <w:jc w:val="right"/>
              <w:rPr>
                <w:rFonts w:cs="Arial"/>
                <w:szCs w:val="18"/>
              </w:rPr>
            </w:pPr>
            <w:r w:rsidRPr="00F3312B">
              <w:rPr>
                <w:rFonts w:cs="Arial"/>
                <w:szCs w:val="18"/>
              </w:rPr>
              <w:t>40</w:t>
            </w:r>
          </w:p>
        </w:tc>
      </w:tr>
    </w:tbl>
    <w:p w14:paraId="6D2413A3" w14:textId="64393C1C" w:rsidR="00446084" w:rsidRDefault="00446084" w:rsidP="00446084">
      <w:pPr>
        <w:spacing w:before="120" w:line="280" w:lineRule="atLeast"/>
        <w:ind w:left="11"/>
        <w:rPr>
          <w:rFonts w:cs="Arial"/>
          <w:sz w:val="22"/>
          <w:szCs w:val="22"/>
        </w:rPr>
      </w:pPr>
      <w:r w:rsidRPr="00324BD7">
        <w:rPr>
          <w:rFonts w:cs="Arial"/>
          <w:sz w:val="22"/>
          <w:szCs w:val="22"/>
        </w:rPr>
        <w:t>In the above example, after applying the 2024 technical provisions guidance on reinsurance contract boundaries, there is an additional £10m included in the best estimate cash flow as the full level of contractual premium (the contractual obligation is to all of the RI costs), resulting in an adverse impact on members’ balance of £10m.</w:t>
      </w:r>
      <w:r w:rsidR="00F51386">
        <w:rPr>
          <w:rFonts w:cs="Arial"/>
          <w:sz w:val="22"/>
          <w:szCs w:val="22"/>
        </w:rPr>
        <w:t xml:space="preserve"> </w:t>
      </w:r>
    </w:p>
    <w:p w14:paraId="2B070279" w14:textId="6D7CF805" w:rsidR="003012E7" w:rsidRPr="00126D5A" w:rsidRDefault="00563928" w:rsidP="003012E7">
      <w:pPr>
        <w:pStyle w:val="Heading2"/>
        <w:numPr>
          <w:ilvl w:val="0"/>
          <w:numId w:val="0"/>
        </w:numPr>
        <w:spacing w:after="120" w:line="240" w:lineRule="auto"/>
      </w:pPr>
      <w:bookmarkStart w:id="174" w:name="_Toc225844993"/>
      <w:r>
        <w:t>Third party reinsurance to close</w:t>
      </w:r>
      <w:bookmarkEnd w:id="174"/>
    </w:p>
    <w:p w14:paraId="4135AA30" w14:textId="5A461046" w:rsidR="00563928" w:rsidRPr="00563928" w:rsidRDefault="00563928" w:rsidP="00563928">
      <w:pPr>
        <w:spacing w:before="120" w:line="280" w:lineRule="atLeast"/>
        <w:rPr>
          <w:rFonts w:cs="Arial"/>
          <w:sz w:val="22"/>
          <w:szCs w:val="22"/>
          <w:lang w:val="en-US"/>
        </w:rPr>
      </w:pPr>
      <w:r w:rsidRPr="00563928">
        <w:rPr>
          <w:rFonts w:cs="Arial"/>
          <w:sz w:val="22"/>
          <w:szCs w:val="22"/>
          <w:lang w:val="en-US"/>
        </w:rPr>
        <w:t xml:space="preserve">The concept of RITC is specific to Lloyd’s and is not accommodated by the PRA </w:t>
      </w:r>
      <w:r w:rsidR="0002716D">
        <w:rPr>
          <w:rFonts w:cs="Arial"/>
          <w:sz w:val="22"/>
          <w:szCs w:val="22"/>
          <w:lang w:val="en-US"/>
        </w:rPr>
        <w:t xml:space="preserve">Solvency UK </w:t>
      </w:r>
      <w:r w:rsidRPr="00563928">
        <w:rPr>
          <w:rFonts w:cs="Arial"/>
          <w:sz w:val="22"/>
          <w:szCs w:val="22"/>
          <w:lang w:val="en-US"/>
        </w:rPr>
        <w:t>templates.</w:t>
      </w:r>
      <w:r w:rsidR="00F51386">
        <w:rPr>
          <w:rFonts w:cs="Arial"/>
          <w:sz w:val="22"/>
          <w:szCs w:val="22"/>
          <w:lang w:val="en-US"/>
        </w:rPr>
        <w:t xml:space="preserve"> </w:t>
      </w:r>
      <w:r w:rsidRPr="00563928">
        <w:rPr>
          <w:rFonts w:cs="Arial"/>
          <w:sz w:val="22"/>
          <w:szCs w:val="22"/>
          <w:lang w:val="en-US"/>
        </w:rPr>
        <w:t>Furthermore, by convention RITC is not accounted for as at balance date, such that the balance sheet is shown as immediately before the RITC transaction.</w:t>
      </w:r>
      <w:r w:rsidR="00F51386">
        <w:rPr>
          <w:rFonts w:cs="Arial"/>
          <w:sz w:val="22"/>
          <w:szCs w:val="22"/>
          <w:lang w:val="en-US"/>
        </w:rPr>
        <w:t xml:space="preserve"> </w:t>
      </w:r>
      <w:r w:rsidRPr="00563928">
        <w:rPr>
          <w:rFonts w:cs="Arial"/>
          <w:sz w:val="22"/>
          <w:szCs w:val="22"/>
          <w:lang w:val="en-US"/>
        </w:rPr>
        <w:t>Where (as in most cases) RITC occurs between one syndicate year of account and the next following year of account of the same syndicate, the RITC, including any associated solvency valuation differences, nets off in reporting at syndicate level.</w:t>
      </w:r>
      <w:r w:rsidR="00F51386">
        <w:rPr>
          <w:rFonts w:cs="Arial"/>
          <w:sz w:val="22"/>
          <w:szCs w:val="22"/>
          <w:lang w:val="en-US"/>
        </w:rPr>
        <w:t xml:space="preserve"> </w:t>
      </w:r>
      <w:r w:rsidRPr="00563928">
        <w:rPr>
          <w:rFonts w:cs="Arial"/>
          <w:sz w:val="22"/>
          <w:szCs w:val="22"/>
          <w:lang w:val="en-US"/>
        </w:rPr>
        <w:t>The distributable result of the closing year of account is based on GAAP, so any valuation differences on the assets and liabilities passing by RITC have to be taken into account in the forward-looking solvency calculations of the receiving year of account.</w:t>
      </w:r>
      <w:r w:rsidR="00F51386">
        <w:rPr>
          <w:rFonts w:cs="Arial"/>
          <w:sz w:val="22"/>
          <w:szCs w:val="22"/>
          <w:lang w:val="en-US"/>
        </w:rPr>
        <w:t xml:space="preserve"> </w:t>
      </w:r>
      <w:r w:rsidRPr="00563928">
        <w:rPr>
          <w:rFonts w:cs="Arial"/>
          <w:sz w:val="22"/>
          <w:szCs w:val="22"/>
          <w:lang w:val="en-US"/>
        </w:rPr>
        <w:t xml:space="preserve">Lloyd’s specific templates achieve this outcome by transferring the valuation differences on the closing year to the receiving year of account. </w:t>
      </w:r>
    </w:p>
    <w:p w14:paraId="42CEC363" w14:textId="14E72219" w:rsidR="00563928" w:rsidRPr="00563928" w:rsidRDefault="00563928" w:rsidP="00563928">
      <w:pPr>
        <w:spacing w:before="120" w:line="280" w:lineRule="atLeast"/>
        <w:rPr>
          <w:rFonts w:cs="Arial"/>
          <w:sz w:val="22"/>
          <w:szCs w:val="22"/>
          <w:lang w:val="en-US"/>
        </w:rPr>
      </w:pPr>
      <w:r w:rsidRPr="00563928">
        <w:rPr>
          <w:rFonts w:cs="Arial"/>
          <w:sz w:val="22"/>
          <w:szCs w:val="22"/>
          <w:lang w:val="en-US"/>
        </w:rPr>
        <w:t xml:space="preserve">Where however the RITC is to a different syndicate, the two sides of the transfer of valuation differences (from closing to receiving year of account) are in different syndicates. Accordingly, an asset and liability are </w:t>
      </w:r>
      <w:r w:rsidRPr="00F3312B">
        <w:rPr>
          <w:rFonts w:cs="Arial"/>
          <w:sz w:val="22"/>
          <w:szCs w:val="22"/>
        </w:rPr>
        <w:t>recogni</w:t>
      </w:r>
      <w:r w:rsidR="00FC794B" w:rsidRPr="00F3312B">
        <w:rPr>
          <w:rFonts w:cs="Arial"/>
          <w:sz w:val="22"/>
          <w:szCs w:val="22"/>
        </w:rPr>
        <w:t>s</w:t>
      </w:r>
      <w:r w:rsidRPr="00F3312B">
        <w:rPr>
          <w:rFonts w:cs="Arial"/>
          <w:sz w:val="22"/>
          <w:szCs w:val="22"/>
        </w:rPr>
        <w:t>ed</w:t>
      </w:r>
      <w:r w:rsidRPr="00563928">
        <w:rPr>
          <w:rFonts w:cs="Arial"/>
          <w:sz w:val="22"/>
          <w:szCs w:val="22"/>
          <w:lang w:val="en-US"/>
        </w:rPr>
        <w:t xml:space="preserve"> in the solvency balance sheets of the two syndicates, to ensure that member solvency in the receiving year is assessed on a solvency balance sheet that reflects the valuation differences relating to the assets and liabilities to be assumed by RITC immediately after the year end. The asset and liability </w:t>
      </w:r>
      <w:r w:rsidRPr="00F3312B">
        <w:rPr>
          <w:rFonts w:cs="Arial"/>
          <w:sz w:val="22"/>
          <w:szCs w:val="22"/>
        </w:rPr>
        <w:t>recogni</w:t>
      </w:r>
      <w:r w:rsidR="00C7669E" w:rsidRPr="00F3312B">
        <w:rPr>
          <w:rFonts w:cs="Arial"/>
          <w:sz w:val="22"/>
          <w:szCs w:val="22"/>
        </w:rPr>
        <w:t>s</w:t>
      </w:r>
      <w:r w:rsidRPr="00F3312B">
        <w:rPr>
          <w:rFonts w:cs="Arial"/>
          <w:sz w:val="22"/>
          <w:szCs w:val="22"/>
        </w:rPr>
        <w:t>ed</w:t>
      </w:r>
      <w:r w:rsidRPr="00563928">
        <w:rPr>
          <w:rFonts w:cs="Arial"/>
          <w:sz w:val="22"/>
          <w:szCs w:val="22"/>
          <w:lang w:val="en-US"/>
        </w:rPr>
        <w:t xml:space="preserve"> for this purpose in the solvency balance sheet are equal and </w:t>
      </w:r>
      <w:r w:rsidR="00826F12" w:rsidRPr="00563928">
        <w:rPr>
          <w:rFonts w:cs="Arial"/>
          <w:sz w:val="22"/>
          <w:szCs w:val="22"/>
          <w:lang w:val="en-US"/>
        </w:rPr>
        <w:t>opposite and</w:t>
      </w:r>
      <w:r w:rsidRPr="00563928">
        <w:rPr>
          <w:rFonts w:cs="Arial"/>
          <w:sz w:val="22"/>
          <w:szCs w:val="22"/>
          <w:lang w:val="en-US"/>
        </w:rPr>
        <w:t xml:space="preserve"> are recogni</w:t>
      </w:r>
      <w:r w:rsidR="00C7669E">
        <w:rPr>
          <w:rFonts w:cs="Arial"/>
          <w:sz w:val="22"/>
          <w:szCs w:val="22"/>
          <w:lang w:val="en-US"/>
        </w:rPr>
        <w:t>s</w:t>
      </w:r>
      <w:r w:rsidRPr="00563928">
        <w:rPr>
          <w:rFonts w:cs="Arial"/>
          <w:sz w:val="22"/>
          <w:szCs w:val="22"/>
          <w:lang w:val="en-US"/>
        </w:rPr>
        <w:t>ed only at year end.</w:t>
      </w:r>
    </w:p>
    <w:p w14:paraId="73777122" w14:textId="77777777" w:rsidR="00051B3E" w:rsidRDefault="00051B3E" w:rsidP="006D0AD7">
      <w:pPr>
        <w:pStyle w:val="Heading2"/>
        <w:numPr>
          <w:ilvl w:val="0"/>
          <w:numId w:val="0"/>
        </w:numPr>
        <w:spacing w:after="120" w:line="240" w:lineRule="auto"/>
      </w:pPr>
    </w:p>
    <w:p w14:paraId="79DCE352" w14:textId="4367781B" w:rsidR="006D0AD7" w:rsidRDefault="006D0AD7" w:rsidP="006D0AD7">
      <w:pPr>
        <w:pStyle w:val="Heading2"/>
        <w:numPr>
          <w:ilvl w:val="0"/>
          <w:numId w:val="0"/>
        </w:numPr>
        <w:spacing w:after="120" w:line="240" w:lineRule="auto"/>
      </w:pPr>
      <w:bookmarkStart w:id="175" w:name="_Toc225844994"/>
      <w:r>
        <w:t>Lloyd’s prudential restrictions</w:t>
      </w:r>
      <w:bookmarkEnd w:id="175"/>
    </w:p>
    <w:p w14:paraId="365B629C" w14:textId="395D511C" w:rsidR="00025FA9" w:rsidRPr="00302B18" w:rsidRDefault="00025FA9" w:rsidP="00A10322">
      <w:pPr>
        <w:pStyle w:val="Bullet"/>
        <w:numPr>
          <w:ilvl w:val="0"/>
          <w:numId w:val="0"/>
        </w:numPr>
        <w:rPr>
          <w:rFonts w:ascii="Aptos" w:hAnsi="Aptos"/>
          <w:lang w:val="en-US"/>
        </w:rPr>
      </w:pPr>
      <w:r w:rsidRPr="00302B18">
        <w:rPr>
          <w:lang w:val="en-US"/>
        </w:rPr>
        <w:t xml:space="preserve">Lloyd’s limits the credit that may be taken in unearned margin and profit in unearned premiums. These cannot exceed amounts determined by the Signing Actuary in the Statement of Actuarial Opinion. This is a constraint unique to Lloyd’s not contemplated by the </w:t>
      </w:r>
      <w:r w:rsidR="00615A5B">
        <w:rPr>
          <w:lang w:val="en-US"/>
        </w:rPr>
        <w:t xml:space="preserve">Solvency UK </w:t>
      </w:r>
      <w:r w:rsidRPr="00302B18">
        <w:rPr>
          <w:lang w:val="en-US"/>
        </w:rPr>
        <w:t>templates. Where the SAO limits the figures that may be recogni</w:t>
      </w:r>
      <w:r w:rsidR="00615A5B">
        <w:rPr>
          <w:lang w:val="en-US"/>
        </w:rPr>
        <w:t>s</w:t>
      </w:r>
      <w:r w:rsidRPr="00302B18">
        <w:rPr>
          <w:lang w:val="en-US"/>
        </w:rPr>
        <w:t>ed for solvency purposes, it is necessary to make a corresponding adjustment in the solvency balance sheet. This is recorded as a liability in the solvency balance sheet preserving the integrity of technical provisions figures under solvency valuation requirements while also recogni</w:t>
      </w:r>
      <w:r w:rsidR="00DD15FF">
        <w:rPr>
          <w:lang w:val="en-US"/>
        </w:rPr>
        <w:t>s</w:t>
      </w:r>
      <w:r w:rsidRPr="00302B18">
        <w:rPr>
          <w:lang w:val="en-US"/>
        </w:rPr>
        <w:t>ing the fact of Lloyd’s prudential provisions in the member solvency calculations.</w:t>
      </w:r>
    </w:p>
    <w:p w14:paraId="2687F2FD" w14:textId="5B5B1A96" w:rsidR="004D1308" w:rsidRPr="005452A4" w:rsidRDefault="005452A4" w:rsidP="005452A4">
      <w:pPr>
        <w:pStyle w:val="Heading2"/>
        <w:numPr>
          <w:ilvl w:val="0"/>
          <w:numId w:val="0"/>
        </w:numPr>
        <w:spacing w:after="120" w:line="240" w:lineRule="auto"/>
      </w:pPr>
      <w:bookmarkStart w:id="176" w:name="_Toc225844995"/>
      <w:r>
        <w:lastRenderedPageBreak/>
        <w:t>Distribution timetable</w:t>
      </w:r>
      <w:bookmarkEnd w:id="176"/>
    </w:p>
    <w:p w14:paraId="4B9EED4E" w14:textId="5F2F7771" w:rsidR="0019360F" w:rsidRPr="00302B18" w:rsidRDefault="0019360F" w:rsidP="0019360F">
      <w:pPr>
        <w:rPr>
          <w:rFonts w:ascii="Aptos" w:hAnsi="Aptos"/>
          <w:sz w:val="22"/>
          <w:szCs w:val="22"/>
          <w:lang w:val="en-US"/>
        </w:rPr>
      </w:pPr>
      <w:r w:rsidRPr="00302B18">
        <w:rPr>
          <w:sz w:val="22"/>
          <w:szCs w:val="22"/>
          <w:lang w:val="en-US"/>
        </w:rPr>
        <w:t xml:space="preserve">The PRA templates do not accommodate the Lloyd’s model under which results are declared for discrete cohorts of underwriting activity representing successive annual ventures, each </w:t>
      </w:r>
      <w:r w:rsidR="6B20224F" w:rsidRPr="3C31DFBD">
        <w:rPr>
          <w:sz w:val="22"/>
          <w:szCs w:val="22"/>
          <w:lang w:val="en-US"/>
        </w:rPr>
        <w:t xml:space="preserve">usually </w:t>
      </w:r>
      <w:r w:rsidRPr="00302B18">
        <w:rPr>
          <w:sz w:val="22"/>
          <w:szCs w:val="22"/>
          <w:lang w:val="en-US"/>
        </w:rPr>
        <w:t>closing after three years, with the result released to members if a profit or called from members if a loss. Declared profits and losses of syndicate years of account, and any open year profit transfers, are distributed according to a set timetable, with the actual transfer of assets taking place in Q2. Consequently, the syndicate assets from 1 January each calendar year still reflect the profit or loss of the most recent closing year, until distribution is effected in Q2, notwithstanding that this profit or loss is not attributable to the years of account then making up the syndicate. Reporting at Q1 therefore requires adjustment to avoid the undistributed profit or loss distorting the solvency position of the open years of account. The actual distribution in Q2 resolves the position so far as Q2 reporting is concerned.</w:t>
      </w:r>
    </w:p>
    <w:p w14:paraId="62922BCF" w14:textId="2B50FB1E" w:rsidR="0019360F" w:rsidRPr="00302B18" w:rsidRDefault="0019360F" w:rsidP="0019360F">
      <w:pPr>
        <w:rPr>
          <w:sz w:val="22"/>
          <w:szCs w:val="22"/>
          <w:lang w:val="en-US"/>
        </w:rPr>
      </w:pPr>
      <w:r w:rsidRPr="00302B18">
        <w:rPr>
          <w:sz w:val="22"/>
          <w:szCs w:val="22"/>
          <w:lang w:val="en-US"/>
        </w:rPr>
        <w:t>Wholly aligned syndicates may prefer to hold member capital as FIS. Even where an undistributed profit or loss is to be added to (or funded by) FIS, Lloyd’s requires the Q1 position to reflect the undistributed result as a liability or asset for distribution or collection. Addition to, or offset against, FIS, must be assumed to follow the distribution timetable.</w:t>
      </w:r>
    </w:p>
    <w:p w14:paraId="7EC2DA6C" w14:textId="3811F8E2" w:rsidR="001C5DE6" w:rsidRDefault="0019360F" w:rsidP="00302B18">
      <w:pPr>
        <w:rPr>
          <w:sz w:val="22"/>
          <w:szCs w:val="22"/>
          <w:lang w:val="en-US"/>
        </w:rPr>
      </w:pPr>
      <w:r w:rsidRPr="00302B18">
        <w:rPr>
          <w:sz w:val="22"/>
          <w:szCs w:val="22"/>
          <w:lang w:val="en-US"/>
        </w:rPr>
        <w:t>An undistributed profit already recogni</w:t>
      </w:r>
      <w:r w:rsidR="00302B18" w:rsidRPr="00302B18">
        <w:rPr>
          <w:sz w:val="22"/>
          <w:szCs w:val="22"/>
          <w:lang w:val="en-US"/>
        </w:rPr>
        <w:t>s</w:t>
      </w:r>
      <w:r w:rsidRPr="00302B18">
        <w:rPr>
          <w:sz w:val="22"/>
          <w:szCs w:val="22"/>
          <w:lang w:val="en-US"/>
        </w:rPr>
        <w:t xml:space="preserve">ed in the solvency balance sheet as a liability is not treated as a foreseeable </w:t>
      </w:r>
      <w:r w:rsidR="00424E4B">
        <w:rPr>
          <w:sz w:val="22"/>
          <w:szCs w:val="22"/>
          <w:lang w:val="en-US"/>
        </w:rPr>
        <w:t xml:space="preserve">distribution </w:t>
      </w:r>
      <w:r w:rsidRPr="00302B18">
        <w:rPr>
          <w:sz w:val="22"/>
          <w:szCs w:val="22"/>
          <w:lang w:val="en-US"/>
        </w:rPr>
        <w:t>on the IR.23 template at Q1.</w:t>
      </w:r>
      <w:r w:rsidR="00F51386">
        <w:rPr>
          <w:sz w:val="22"/>
          <w:szCs w:val="22"/>
          <w:lang w:val="en-US"/>
        </w:rPr>
        <w:t xml:space="preserve"> </w:t>
      </w:r>
    </w:p>
    <w:p w14:paraId="2485BA97" w14:textId="77777777" w:rsidR="001C5DE6" w:rsidRDefault="001C5DE6">
      <w:pPr>
        <w:tabs>
          <w:tab w:val="clear" w:pos="5897"/>
        </w:tabs>
        <w:spacing w:after="0" w:line="240" w:lineRule="auto"/>
        <w:rPr>
          <w:sz w:val="22"/>
          <w:szCs w:val="22"/>
          <w:lang w:val="en-US"/>
        </w:rPr>
      </w:pPr>
      <w:r>
        <w:rPr>
          <w:sz w:val="22"/>
          <w:szCs w:val="22"/>
          <w:lang w:val="en-US"/>
        </w:rPr>
        <w:br w:type="page"/>
      </w:r>
    </w:p>
    <w:p w14:paraId="6D6E5D5C" w14:textId="77777777" w:rsidR="001C5DE6" w:rsidRDefault="001C5DE6" w:rsidP="00302B18">
      <w:pPr>
        <w:rPr>
          <w:sz w:val="22"/>
          <w:szCs w:val="22"/>
          <w:lang w:val="en-US"/>
        </w:rPr>
        <w:sectPr w:rsidR="001C5DE6" w:rsidSect="00857677">
          <w:headerReference w:type="even" r:id="rId32"/>
          <w:headerReference w:type="default" r:id="rId33"/>
          <w:headerReference w:type="first" r:id="rId34"/>
          <w:footerReference w:type="first" r:id="rId35"/>
          <w:pgSz w:w="11907" w:h="16840" w:code="9"/>
          <w:pgMar w:top="1529" w:right="1021" w:bottom="1361" w:left="1588" w:header="11" w:footer="749" w:gutter="0"/>
          <w:cols w:space="720"/>
          <w:docGrid w:linePitch="245"/>
        </w:sectPr>
      </w:pPr>
    </w:p>
    <w:p w14:paraId="6CFE56EB" w14:textId="44F31A33" w:rsidR="001C5DE6" w:rsidRPr="00C00E22" w:rsidRDefault="001C5DE6" w:rsidP="001B36ED">
      <w:pPr>
        <w:pStyle w:val="Heading1"/>
        <w:numPr>
          <w:ilvl w:val="0"/>
          <w:numId w:val="0"/>
        </w:numPr>
      </w:pPr>
      <w:bookmarkStart w:id="177" w:name="_Toc214830563"/>
      <w:bookmarkStart w:id="178" w:name="_Toc225844996"/>
      <w:r w:rsidRPr="00C00E22">
        <w:lastRenderedPageBreak/>
        <w:t>Appendix</w:t>
      </w:r>
      <w:bookmarkStart w:id="179" w:name="_Toc214830564"/>
      <w:bookmarkEnd w:id="177"/>
      <w:r w:rsidRPr="00C00E22">
        <w:t xml:space="preserve"> </w:t>
      </w:r>
      <w:r w:rsidR="00C00E22">
        <w:t>–</w:t>
      </w:r>
      <w:r w:rsidRPr="00C00E22">
        <w:t xml:space="preserve"> Instructions Change Log</w:t>
      </w:r>
      <w:bookmarkEnd w:id="178"/>
      <w:bookmarkEnd w:id="179"/>
    </w:p>
    <w:p w14:paraId="3FFC379C" w14:textId="77777777" w:rsidR="001C5DE6" w:rsidRPr="001C5DE6" w:rsidRDefault="001C5DE6" w:rsidP="001B36ED">
      <w:pPr>
        <w:pStyle w:val="Heading2"/>
        <w:numPr>
          <w:ilvl w:val="0"/>
          <w:numId w:val="0"/>
        </w:num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063"/>
        <w:gridCol w:w="2989"/>
        <w:gridCol w:w="1605"/>
        <w:gridCol w:w="5696"/>
        <w:gridCol w:w="2585"/>
      </w:tblGrid>
      <w:tr w:rsidR="001C5DE6" w:rsidRPr="00F85318" w14:paraId="3F069885" w14:textId="77777777" w:rsidTr="00DD1050">
        <w:trPr>
          <w:trHeight w:val="297"/>
          <w:tblHeader/>
        </w:trPr>
        <w:tc>
          <w:tcPr>
            <w:tcW w:w="1063" w:type="dxa"/>
            <w:shd w:val="clear" w:color="auto" w:fill="000000" w:themeFill="text1"/>
          </w:tcPr>
          <w:p w14:paraId="74596CE1" w14:textId="77777777" w:rsidR="001C5DE6" w:rsidRPr="000D1AFD" w:rsidRDefault="001C5DE6" w:rsidP="00664010">
            <w:pPr>
              <w:pStyle w:val="Bullet"/>
              <w:numPr>
                <w:ilvl w:val="0"/>
                <w:numId w:val="0"/>
              </w:numPr>
              <w:spacing w:before="40" w:after="40"/>
              <w:rPr>
                <w:b/>
                <w:color w:val="FFFFFF" w:themeColor="background1"/>
                <w:sz w:val="20"/>
                <w:szCs w:val="20"/>
              </w:rPr>
            </w:pPr>
            <w:bookmarkStart w:id="180" w:name="_1c00cbec_5b95_4180_9c99_13d20549fc0e"/>
            <w:bookmarkEnd w:id="180"/>
            <w:r w:rsidRPr="000D1AFD">
              <w:rPr>
                <w:b/>
                <w:color w:val="FFFFFF" w:themeColor="background1"/>
                <w:sz w:val="20"/>
                <w:szCs w:val="20"/>
              </w:rPr>
              <w:t>Version</w:t>
            </w:r>
          </w:p>
        </w:tc>
        <w:tc>
          <w:tcPr>
            <w:tcW w:w="2989" w:type="dxa"/>
            <w:shd w:val="clear" w:color="auto" w:fill="000000" w:themeFill="text1"/>
          </w:tcPr>
          <w:p w14:paraId="25B2E927" w14:textId="77777777" w:rsidR="001C5DE6" w:rsidRPr="000D1AFD" w:rsidRDefault="001C5DE6" w:rsidP="00664010">
            <w:pPr>
              <w:pStyle w:val="Bullet"/>
              <w:numPr>
                <w:ilvl w:val="0"/>
                <w:numId w:val="0"/>
              </w:numPr>
              <w:spacing w:before="40" w:after="40"/>
              <w:rPr>
                <w:b/>
                <w:color w:val="FFFFFF" w:themeColor="background1"/>
                <w:sz w:val="20"/>
                <w:szCs w:val="20"/>
              </w:rPr>
            </w:pPr>
            <w:r w:rsidRPr="000D1AFD">
              <w:rPr>
                <w:b/>
                <w:color w:val="FFFFFF" w:themeColor="background1"/>
                <w:sz w:val="20"/>
                <w:szCs w:val="20"/>
              </w:rPr>
              <w:t>Section</w:t>
            </w:r>
          </w:p>
        </w:tc>
        <w:tc>
          <w:tcPr>
            <w:tcW w:w="1605" w:type="dxa"/>
            <w:shd w:val="clear" w:color="auto" w:fill="000000" w:themeFill="text1"/>
          </w:tcPr>
          <w:p w14:paraId="5BA748EB" w14:textId="77777777" w:rsidR="001C5DE6" w:rsidRPr="000D1AFD" w:rsidRDefault="001C5DE6" w:rsidP="00664010">
            <w:pPr>
              <w:pStyle w:val="Bullet"/>
              <w:numPr>
                <w:ilvl w:val="0"/>
                <w:numId w:val="0"/>
              </w:numPr>
              <w:spacing w:before="40" w:after="40"/>
              <w:rPr>
                <w:b/>
                <w:color w:val="FFFFFF" w:themeColor="background1"/>
                <w:sz w:val="20"/>
                <w:szCs w:val="20"/>
              </w:rPr>
            </w:pPr>
            <w:r w:rsidRPr="000D1AFD">
              <w:rPr>
                <w:b/>
                <w:color w:val="FFFFFF" w:themeColor="background1"/>
                <w:sz w:val="20"/>
                <w:szCs w:val="20"/>
              </w:rPr>
              <w:t>Change</w:t>
            </w:r>
          </w:p>
        </w:tc>
        <w:tc>
          <w:tcPr>
            <w:tcW w:w="5696" w:type="dxa"/>
            <w:shd w:val="clear" w:color="auto" w:fill="000000" w:themeFill="text1"/>
          </w:tcPr>
          <w:p w14:paraId="3BA551B6" w14:textId="77777777" w:rsidR="001C5DE6" w:rsidRPr="000D1AFD" w:rsidRDefault="001C5DE6" w:rsidP="00664010">
            <w:pPr>
              <w:pStyle w:val="Bullet"/>
              <w:numPr>
                <w:ilvl w:val="0"/>
                <w:numId w:val="0"/>
              </w:numPr>
              <w:spacing w:before="40" w:after="40"/>
              <w:rPr>
                <w:b/>
                <w:color w:val="FFFFFF" w:themeColor="background1"/>
                <w:sz w:val="20"/>
                <w:szCs w:val="20"/>
              </w:rPr>
            </w:pPr>
            <w:r w:rsidRPr="000D1AFD">
              <w:rPr>
                <w:b/>
                <w:color w:val="FFFFFF" w:themeColor="background1"/>
                <w:sz w:val="20"/>
                <w:szCs w:val="20"/>
              </w:rPr>
              <w:t>Change Implemented</w:t>
            </w:r>
          </w:p>
        </w:tc>
        <w:tc>
          <w:tcPr>
            <w:tcW w:w="2585" w:type="dxa"/>
            <w:shd w:val="clear" w:color="auto" w:fill="000000" w:themeFill="text1"/>
          </w:tcPr>
          <w:p w14:paraId="503C9400" w14:textId="77777777" w:rsidR="001C5DE6" w:rsidRPr="000D1AFD" w:rsidRDefault="001C5DE6" w:rsidP="00664010">
            <w:pPr>
              <w:pStyle w:val="Bullet"/>
              <w:numPr>
                <w:ilvl w:val="0"/>
                <w:numId w:val="0"/>
              </w:numPr>
              <w:spacing w:before="40" w:after="40"/>
              <w:rPr>
                <w:b/>
                <w:color w:val="FFFFFF" w:themeColor="background1"/>
                <w:sz w:val="20"/>
                <w:szCs w:val="20"/>
              </w:rPr>
            </w:pPr>
            <w:r w:rsidRPr="000D1AFD">
              <w:rPr>
                <w:b/>
                <w:color w:val="FFFFFF" w:themeColor="background1"/>
                <w:sz w:val="20"/>
                <w:szCs w:val="20"/>
              </w:rPr>
              <w:t>Rationale</w:t>
            </w:r>
          </w:p>
        </w:tc>
      </w:tr>
      <w:tr w:rsidR="001C5DE6" w:rsidRPr="00F85318" w14:paraId="6C47376B" w14:textId="77777777" w:rsidTr="00DD1050">
        <w:tc>
          <w:tcPr>
            <w:tcW w:w="1063" w:type="dxa"/>
          </w:tcPr>
          <w:p w14:paraId="7B15FBF5" w14:textId="5ADFFFBC" w:rsidR="001C5DE6" w:rsidRPr="000D1AFD" w:rsidRDefault="001C5DE6" w:rsidP="00664010">
            <w:pPr>
              <w:pStyle w:val="Bullet"/>
              <w:numPr>
                <w:ilvl w:val="0"/>
                <w:numId w:val="0"/>
              </w:numPr>
              <w:spacing w:before="40" w:after="40"/>
              <w:rPr>
                <w:sz w:val="20"/>
                <w:szCs w:val="20"/>
              </w:rPr>
            </w:pPr>
            <w:r w:rsidRPr="000D1AFD">
              <w:rPr>
                <w:sz w:val="20"/>
                <w:szCs w:val="20"/>
              </w:rPr>
              <w:t>V1.</w:t>
            </w:r>
            <w:r>
              <w:rPr>
                <w:sz w:val="20"/>
                <w:szCs w:val="20"/>
              </w:rPr>
              <w:t>1</w:t>
            </w:r>
          </w:p>
        </w:tc>
        <w:tc>
          <w:tcPr>
            <w:tcW w:w="2989" w:type="dxa"/>
          </w:tcPr>
          <w:p w14:paraId="156FD773" w14:textId="77777777" w:rsidR="001C5DE6" w:rsidRPr="000D1AFD" w:rsidRDefault="001C5DE6" w:rsidP="00664010">
            <w:pPr>
              <w:pStyle w:val="Bullet"/>
              <w:numPr>
                <w:ilvl w:val="0"/>
                <w:numId w:val="0"/>
              </w:numPr>
              <w:spacing w:before="40" w:after="40"/>
              <w:rPr>
                <w:sz w:val="20"/>
                <w:szCs w:val="20"/>
              </w:rPr>
            </w:pPr>
            <w:r w:rsidRPr="000D1AFD">
              <w:rPr>
                <w:sz w:val="20"/>
                <w:szCs w:val="20"/>
              </w:rPr>
              <w:t>1</w:t>
            </w:r>
            <w:r>
              <w:rPr>
                <w:sz w:val="20"/>
                <w:szCs w:val="20"/>
              </w:rPr>
              <w:t xml:space="preserve">st </w:t>
            </w:r>
            <w:r w:rsidRPr="000D1AFD">
              <w:rPr>
                <w:sz w:val="20"/>
                <w:szCs w:val="20"/>
              </w:rPr>
              <w:t>Page Cover</w:t>
            </w:r>
          </w:p>
        </w:tc>
        <w:tc>
          <w:tcPr>
            <w:tcW w:w="1605" w:type="dxa"/>
          </w:tcPr>
          <w:p w14:paraId="7EA90A8D" w14:textId="77777777" w:rsidR="001C5DE6" w:rsidRPr="000D1AFD" w:rsidRDefault="001C5DE6" w:rsidP="00664010">
            <w:pPr>
              <w:pStyle w:val="Bullet"/>
              <w:numPr>
                <w:ilvl w:val="0"/>
                <w:numId w:val="0"/>
              </w:numPr>
              <w:spacing w:before="40" w:after="40"/>
              <w:rPr>
                <w:sz w:val="20"/>
                <w:szCs w:val="20"/>
              </w:rPr>
            </w:pPr>
            <w:r w:rsidRPr="000D1AFD">
              <w:rPr>
                <w:sz w:val="20"/>
                <w:szCs w:val="20"/>
              </w:rPr>
              <w:t>Update</w:t>
            </w:r>
          </w:p>
        </w:tc>
        <w:tc>
          <w:tcPr>
            <w:tcW w:w="5696" w:type="dxa"/>
          </w:tcPr>
          <w:p w14:paraId="3606B0C5" w14:textId="5F5F8FC6" w:rsidR="001C5DE6" w:rsidRPr="000D1AFD" w:rsidRDefault="001C5DE6" w:rsidP="00664010">
            <w:pPr>
              <w:pStyle w:val="Bullet"/>
              <w:numPr>
                <w:ilvl w:val="0"/>
                <w:numId w:val="0"/>
              </w:numPr>
              <w:spacing w:before="40" w:after="40"/>
              <w:rPr>
                <w:sz w:val="20"/>
                <w:szCs w:val="20"/>
              </w:rPr>
            </w:pPr>
            <w:r w:rsidRPr="000D1AFD">
              <w:rPr>
                <w:sz w:val="20"/>
                <w:szCs w:val="20"/>
              </w:rPr>
              <w:t>Instructions version updated from V1.</w:t>
            </w:r>
            <w:r>
              <w:rPr>
                <w:sz w:val="20"/>
                <w:szCs w:val="20"/>
              </w:rPr>
              <w:t>0</w:t>
            </w:r>
            <w:r w:rsidRPr="000D1AFD">
              <w:rPr>
                <w:sz w:val="20"/>
                <w:szCs w:val="20"/>
              </w:rPr>
              <w:t xml:space="preserve"> to V1.</w:t>
            </w:r>
            <w:r>
              <w:rPr>
                <w:sz w:val="20"/>
                <w:szCs w:val="20"/>
              </w:rPr>
              <w:t xml:space="preserve">1. </w:t>
            </w:r>
          </w:p>
        </w:tc>
        <w:tc>
          <w:tcPr>
            <w:tcW w:w="2585" w:type="dxa"/>
          </w:tcPr>
          <w:p w14:paraId="39B83E9F" w14:textId="77777777" w:rsidR="001C5DE6" w:rsidRPr="000D1AFD" w:rsidRDefault="001C5DE6" w:rsidP="00664010">
            <w:pPr>
              <w:pStyle w:val="Bullet"/>
              <w:numPr>
                <w:ilvl w:val="0"/>
                <w:numId w:val="0"/>
              </w:numPr>
              <w:spacing w:before="40" w:after="40"/>
              <w:rPr>
                <w:sz w:val="20"/>
                <w:szCs w:val="20"/>
              </w:rPr>
            </w:pPr>
            <w:r w:rsidRPr="000D1AFD">
              <w:rPr>
                <w:sz w:val="20"/>
                <w:szCs w:val="20"/>
              </w:rPr>
              <w:t>Version control</w:t>
            </w:r>
            <w:r>
              <w:rPr>
                <w:sz w:val="20"/>
                <w:szCs w:val="20"/>
              </w:rPr>
              <w:t xml:space="preserve">. </w:t>
            </w:r>
          </w:p>
        </w:tc>
      </w:tr>
      <w:tr w:rsidR="001C5DE6" w:rsidRPr="00F85318" w14:paraId="69F00DB4" w14:textId="77777777" w:rsidTr="00DD1050">
        <w:trPr>
          <w:trHeight w:val="729"/>
        </w:trPr>
        <w:tc>
          <w:tcPr>
            <w:tcW w:w="1063" w:type="dxa"/>
          </w:tcPr>
          <w:p w14:paraId="03260607" w14:textId="7B74A56D" w:rsidR="001C5DE6" w:rsidRPr="00ED7723" w:rsidRDefault="001C5DE6" w:rsidP="00664010">
            <w:pPr>
              <w:pStyle w:val="Bullet"/>
              <w:numPr>
                <w:ilvl w:val="0"/>
                <w:numId w:val="0"/>
              </w:numPr>
              <w:spacing w:before="40" w:after="40"/>
              <w:rPr>
                <w:sz w:val="20"/>
                <w:szCs w:val="20"/>
              </w:rPr>
            </w:pPr>
            <w:r>
              <w:rPr>
                <w:sz w:val="20"/>
                <w:szCs w:val="20"/>
              </w:rPr>
              <w:t>V1.1</w:t>
            </w:r>
          </w:p>
        </w:tc>
        <w:tc>
          <w:tcPr>
            <w:tcW w:w="2989" w:type="dxa"/>
          </w:tcPr>
          <w:p w14:paraId="64C1DB49" w14:textId="01C63F03" w:rsidR="001C5DE6" w:rsidRPr="00ED7723" w:rsidRDefault="001F762E" w:rsidP="00664010">
            <w:pPr>
              <w:pStyle w:val="Bullet"/>
              <w:numPr>
                <w:ilvl w:val="0"/>
                <w:numId w:val="0"/>
              </w:numPr>
              <w:spacing w:before="40" w:after="40"/>
              <w:rPr>
                <w:sz w:val="20"/>
                <w:szCs w:val="20"/>
              </w:rPr>
            </w:pPr>
            <w:r>
              <w:rPr>
                <w:sz w:val="20"/>
                <w:szCs w:val="20"/>
              </w:rPr>
              <w:t>S1.2.3</w:t>
            </w:r>
          </w:p>
        </w:tc>
        <w:tc>
          <w:tcPr>
            <w:tcW w:w="1605" w:type="dxa"/>
          </w:tcPr>
          <w:p w14:paraId="7C0667D2" w14:textId="30B6E970" w:rsidR="001C5DE6" w:rsidRPr="00ED7723" w:rsidRDefault="001F762E" w:rsidP="00664010">
            <w:pPr>
              <w:pStyle w:val="Bullet"/>
              <w:numPr>
                <w:ilvl w:val="0"/>
                <w:numId w:val="0"/>
              </w:numPr>
              <w:spacing w:before="40" w:after="40"/>
              <w:rPr>
                <w:sz w:val="20"/>
                <w:szCs w:val="20"/>
              </w:rPr>
            </w:pPr>
            <w:r>
              <w:rPr>
                <w:sz w:val="20"/>
                <w:szCs w:val="20"/>
              </w:rPr>
              <w:t>New</w:t>
            </w:r>
          </w:p>
        </w:tc>
        <w:tc>
          <w:tcPr>
            <w:tcW w:w="5696" w:type="dxa"/>
          </w:tcPr>
          <w:p w14:paraId="1CC9CE24" w14:textId="27EDF775" w:rsidR="001C5DE6" w:rsidRPr="00ED7723" w:rsidRDefault="001F762E" w:rsidP="00664010">
            <w:pPr>
              <w:pStyle w:val="Bullet"/>
              <w:numPr>
                <w:ilvl w:val="0"/>
                <w:numId w:val="0"/>
              </w:numPr>
              <w:spacing w:before="40" w:after="40"/>
              <w:rPr>
                <w:sz w:val="20"/>
                <w:szCs w:val="20"/>
              </w:rPr>
            </w:pPr>
            <w:r>
              <w:rPr>
                <w:sz w:val="20"/>
                <w:szCs w:val="20"/>
              </w:rPr>
              <w:t>Updated guidance for NIL returns</w:t>
            </w:r>
          </w:p>
        </w:tc>
        <w:tc>
          <w:tcPr>
            <w:tcW w:w="2585" w:type="dxa"/>
          </w:tcPr>
          <w:p w14:paraId="04F5EF75" w14:textId="023F4E1A" w:rsidR="001C5DE6" w:rsidRPr="00ED7723" w:rsidDel="66B61B14" w:rsidRDefault="001F762E" w:rsidP="00664010">
            <w:pPr>
              <w:pStyle w:val="Bullet"/>
              <w:numPr>
                <w:ilvl w:val="0"/>
                <w:numId w:val="0"/>
              </w:numPr>
              <w:spacing w:before="40" w:after="40"/>
              <w:rPr>
                <w:sz w:val="20"/>
                <w:szCs w:val="20"/>
              </w:rPr>
            </w:pPr>
            <w:r>
              <w:rPr>
                <w:sz w:val="20"/>
                <w:szCs w:val="20"/>
              </w:rPr>
              <w:t>New requirement</w:t>
            </w:r>
          </w:p>
        </w:tc>
      </w:tr>
      <w:tr w:rsidR="001C5DE6" w:rsidRPr="00F85318" w14:paraId="1EBD1606" w14:textId="77777777" w:rsidTr="00DD1050">
        <w:tc>
          <w:tcPr>
            <w:tcW w:w="1063" w:type="dxa"/>
          </w:tcPr>
          <w:p w14:paraId="394AA70E" w14:textId="32A67B37" w:rsidR="001C5DE6" w:rsidRPr="000D1AFD" w:rsidRDefault="001C5DE6" w:rsidP="00664010">
            <w:pPr>
              <w:pStyle w:val="Bullet"/>
              <w:numPr>
                <w:ilvl w:val="0"/>
                <w:numId w:val="0"/>
              </w:numPr>
              <w:spacing w:before="40" w:after="40"/>
              <w:rPr>
                <w:sz w:val="20"/>
                <w:szCs w:val="20"/>
              </w:rPr>
            </w:pPr>
            <w:r w:rsidRPr="000D1AFD">
              <w:rPr>
                <w:sz w:val="20"/>
                <w:szCs w:val="20"/>
              </w:rPr>
              <w:t>V1.</w:t>
            </w:r>
            <w:r w:rsidR="002F5BD4">
              <w:rPr>
                <w:sz w:val="20"/>
                <w:szCs w:val="20"/>
              </w:rPr>
              <w:t>1</w:t>
            </w:r>
          </w:p>
        </w:tc>
        <w:tc>
          <w:tcPr>
            <w:tcW w:w="2989" w:type="dxa"/>
          </w:tcPr>
          <w:p w14:paraId="7FF796CE" w14:textId="4B2B1D84" w:rsidR="001C5DE6" w:rsidRPr="000D1AFD" w:rsidRDefault="001C5DE6" w:rsidP="00664010">
            <w:pPr>
              <w:pStyle w:val="Bullet"/>
              <w:numPr>
                <w:ilvl w:val="0"/>
                <w:numId w:val="0"/>
              </w:numPr>
              <w:spacing w:before="40" w:after="40"/>
              <w:rPr>
                <w:sz w:val="20"/>
                <w:szCs w:val="20"/>
              </w:rPr>
            </w:pPr>
            <w:r>
              <w:rPr>
                <w:sz w:val="20"/>
                <w:szCs w:val="20"/>
              </w:rPr>
              <w:t>s2.</w:t>
            </w:r>
            <w:r w:rsidR="002F5BD4">
              <w:rPr>
                <w:sz w:val="20"/>
                <w:szCs w:val="20"/>
              </w:rPr>
              <w:t>1.4</w:t>
            </w:r>
          </w:p>
        </w:tc>
        <w:tc>
          <w:tcPr>
            <w:tcW w:w="1605" w:type="dxa"/>
          </w:tcPr>
          <w:p w14:paraId="58614B0E" w14:textId="114C1BF9" w:rsidR="001C5DE6" w:rsidRPr="000D1AFD" w:rsidRDefault="00A73B74" w:rsidP="00664010">
            <w:pPr>
              <w:pStyle w:val="Bullet"/>
              <w:numPr>
                <w:ilvl w:val="0"/>
                <w:numId w:val="0"/>
              </w:numPr>
              <w:spacing w:before="40" w:after="40"/>
              <w:rPr>
                <w:sz w:val="20"/>
                <w:szCs w:val="20"/>
              </w:rPr>
            </w:pPr>
            <w:r>
              <w:rPr>
                <w:sz w:val="20"/>
                <w:szCs w:val="20"/>
              </w:rPr>
              <w:t>Add</w:t>
            </w:r>
          </w:p>
        </w:tc>
        <w:tc>
          <w:tcPr>
            <w:tcW w:w="5696" w:type="dxa"/>
          </w:tcPr>
          <w:p w14:paraId="2789396B" w14:textId="5439EB84" w:rsidR="001C5DE6" w:rsidRPr="000D1AFD" w:rsidRDefault="002F5BD4" w:rsidP="00664010">
            <w:pPr>
              <w:pStyle w:val="Bullet"/>
              <w:numPr>
                <w:ilvl w:val="0"/>
                <w:numId w:val="0"/>
              </w:numPr>
              <w:spacing w:before="40" w:after="40"/>
              <w:rPr>
                <w:sz w:val="20"/>
                <w:szCs w:val="20"/>
              </w:rPr>
            </w:pPr>
            <w:r>
              <w:rPr>
                <w:sz w:val="20"/>
                <w:szCs w:val="20"/>
              </w:rPr>
              <w:t xml:space="preserve">Added clarification </w:t>
            </w:r>
            <w:r w:rsidR="003A615E">
              <w:rPr>
                <w:sz w:val="20"/>
                <w:szCs w:val="20"/>
              </w:rPr>
              <w:t>for incorrect syndicate number / reporting period for the Cover tab</w:t>
            </w:r>
            <w:r w:rsidR="001C5DE6">
              <w:rPr>
                <w:sz w:val="20"/>
                <w:szCs w:val="20"/>
              </w:rPr>
              <w:t>.</w:t>
            </w:r>
          </w:p>
        </w:tc>
        <w:tc>
          <w:tcPr>
            <w:tcW w:w="2585" w:type="dxa"/>
          </w:tcPr>
          <w:p w14:paraId="566C95D6" w14:textId="45D4F498" w:rsidR="001C5DE6" w:rsidRPr="000D1AFD" w:rsidRDefault="005245B9" w:rsidP="00664010">
            <w:pPr>
              <w:pStyle w:val="Bullet"/>
              <w:numPr>
                <w:ilvl w:val="0"/>
                <w:numId w:val="0"/>
              </w:numPr>
              <w:spacing w:before="40" w:after="40"/>
              <w:rPr>
                <w:sz w:val="20"/>
                <w:szCs w:val="20"/>
              </w:rPr>
            </w:pPr>
            <w:r>
              <w:rPr>
                <w:sz w:val="20"/>
                <w:szCs w:val="20"/>
              </w:rPr>
              <w:t>Updated from Annual FAQ v1.0 – A4</w:t>
            </w:r>
          </w:p>
        </w:tc>
      </w:tr>
      <w:tr w:rsidR="00DD1050" w:rsidRPr="00F85318" w14:paraId="4F8B4CF0" w14:textId="77777777" w:rsidTr="00DD1050">
        <w:tc>
          <w:tcPr>
            <w:tcW w:w="1063" w:type="dxa"/>
          </w:tcPr>
          <w:p w14:paraId="5702B181" w14:textId="4A9FB0FE" w:rsidR="00DD1050" w:rsidRPr="000D1AFD" w:rsidRDefault="00DD1050" w:rsidP="00DD1050">
            <w:pPr>
              <w:pStyle w:val="Bullet"/>
              <w:numPr>
                <w:ilvl w:val="0"/>
                <w:numId w:val="0"/>
              </w:numPr>
              <w:spacing w:before="40" w:after="40"/>
              <w:rPr>
                <w:sz w:val="20"/>
                <w:szCs w:val="20"/>
              </w:rPr>
            </w:pPr>
            <w:r w:rsidRPr="000D1AFD">
              <w:rPr>
                <w:sz w:val="20"/>
                <w:szCs w:val="20"/>
              </w:rPr>
              <w:t>V1.</w:t>
            </w:r>
            <w:r>
              <w:rPr>
                <w:sz w:val="20"/>
                <w:szCs w:val="20"/>
              </w:rPr>
              <w:t>1</w:t>
            </w:r>
          </w:p>
        </w:tc>
        <w:tc>
          <w:tcPr>
            <w:tcW w:w="2989" w:type="dxa"/>
          </w:tcPr>
          <w:p w14:paraId="1D608D17" w14:textId="215840EE" w:rsidR="00DD1050" w:rsidRPr="000D1AFD" w:rsidRDefault="00DD1050" w:rsidP="00DD1050">
            <w:pPr>
              <w:pStyle w:val="Bullet"/>
              <w:numPr>
                <w:ilvl w:val="0"/>
                <w:numId w:val="0"/>
              </w:numPr>
              <w:spacing w:before="40" w:after="40"/>
              <w:rPr>
                <w:sz w:val="20"/>
                <w:szCs w:val="20"/>
              </w:rPr>
            </w:pPr>
            <w:r w:rsidRPr="000D1AFD">
              <w:rPr>
                <w:sz w:val="20"/>
                <w:szCs w:val="20"/>
              </w:rPr>
              <w:t>S</w:t>
            </w:r>
            <w:r>
              <w:rPr>
                <w:sz w:val="20"/>
                <w:szCs w:val="20"/>
              </w:rPr>
              <w:t>2.6.4</w:t>
            </w:r>
          </w:p>
        </w:tc>
        <w:tc>
          <w:tcPr>
            <w:tcW w:w="1605" w:type="dxa"/>
          </w:tcPr>
          <w:p w14:paraId="1C115C10" w14:textId="77777777" w:rsidR="00DD1050" w:rsidRPr="000D1AFD" w:rsidRDefault="00DD1050" w:rsidP="00DD1050">
            <w:pPr>
              <w:pStyle w:val="Bullet"/>
              <w:numPr>
                <w:ilvl w:val="0"/>
                <w:numId w:val="0"/>
              </w:numPr>
              <w:spacing w:before="40" w:after="40"/>
              <w:rPr>
                <w:sz w:val="20"/>
                <w:szCs w:val="20"/>
              </w:rPr>
            </w:pPr>
            <w:r w:rsidRPr="000D1AFD">
              <w:rPr>
                <w:sz w:val="20"/>
                <w:szCs w:val="20"/>
              </w:rPr>
              <w:t>Update</w:t>
            </w:r>
          </w:p>
        </w:tc>
        <w:tc>
          <w:tcPr>
            <w:tcW w:w="5696" w:type="dxa"/>
          </w:tcPr>
          <w:p w14:paraId="610587D6" w14:textId="6E9E0154" w:rsidR="00DD1050" w:rsidRPr="000D1AFD" w:rsidRDefault="00DD1050" w:rsidP="00DD1050">
            <w:pPr>
              <w:pStyle w:val="Bullet"/>
              <w:numPr>
                <w:ilvl w:val="0"/>
                <w:numId w:val="0"/>
              </w:numPr>
              <w:spacing w:before="40" w:after="40"/>
              <w:rPr>
                <w:sz w:val="20"/>
                <w:szCs w:val="20"/>
              </w:rPr>
            </w:pPr>
            <w:r>
              <w:rPr>
                <w:sz w:val="20"/>
                <w:szCs w:val="20"/>
              </w:rPr>
              <w:t>Updated requirements on other adjustments section</w:t>
            </w:r>
          </w:p>
        </w:tc>
        <w:tc>
          <w:tcPr>
            <w:tcW w:w="2585" w:type="dxa"/>
          </w:tcPr>
          <w:p w14:paraId="2021E643" w14:textId="51FC9723" w:rsidR="00DD1050" w:rsidRPr="000D1AFD" w:rsidRDefault="00DD1050" w:rsidP="00DD1050">
            <w:pPr>
              <w:pStyle w:val="Bullet"/>
              <w:numPr>
                <w:ilvl w:val="0"/>
                <w:numId w:val="0"/>
              </w:numPr>
              <w:spacing w:before="40" w:after="40"/>
              <w:rPr>
                <w:sz w:val="20"/>
                <w:szCs w:val="20"/>
              </w:rPr>
            </w:pPr>
            <w:r>
              <w:rPr>
                <w:sz w:val="20"/>
                <w:szCs w:val="20"/>
              </w:rPr>
              <w:t>New requirement</w:t>
            </w:r>
          </w:p>
        </w:tc>
      </w:tr>
      <w:tr w:rsidR="00DD1050" w:rsidRPr="00F85318" w14:paraId="2430E645" w14:textId="77777777" w:rsidTr="00DD1050">
        <w:tc>
          <w:tcPr>
            <w:tcW w:w="1063" w:type="dxa"/>
          </w:tcPr>
          <w:p w14:paraId="2E1380A9" w14:textId="6E6D7F24" w:rsidR="00DD1050" w:rsidRPr="000D1AFD" w:rsidRDefault="00DD1050" w:rsidP="00DD1050">
            <w:pPr>
              <w:pStyle w:val="Bullet"/>
              <w:numPr>
                <w:ilvl w:val="0"/>
                <w:numId w:val="0"/>
              </w:numPr>
              <w:spacing w:before="40" w:after="40"/>
              <w:rPr>
                <w:sz w:val="20"/>
                <w:szCs w:val="20"/>
              </w:rPr>
            </w:pPr>
            <w:r w:rsidRPr="000D1AFD">
              <w:rPr>
                <w:sz w:val="20"/>
                <w:szCs w:val="20"/>
              </w:rPr>
              <w:t>V1.</w:t>
            </w:r>
            <w:r w:rsidR="00341C24">
              <w:rPr>
                <w:sz w:val="20"/>
                <w:szCs w:val="20"/>
              </w:rPr>
              <w:t>1</w:t>
            </w:r>
          </w:p>
        </w:tc>
        <w:tc>
          <w:tcPr>
            <w:tcW w:w="2989" w:type="dxa"/>
          </w:tcPr>
          <w:p w14:paraId="31DCB1BA" w14:textId="4495B011" w:rsidR="00DD1050" w:rsidRPr="000D1AFD" w:rsidRDefault="00842A09" w:rsidP="00DD1050">
            <w:pPr>
              <w:pStyle w:val="Bullet"/>
              <w:numPr>
                <w:ilvl w:val="0"/>
                <w:numId w:val="0"/>
              </w:numPr>
              <w:spacing w:before="40" w:after="40"/>
              <w:rPr>
                <w:sz w:val="20"/>
                <w:szCs w:val="20"/>
              </w:rPr>
            </w:pPr>
            <w:r w:rsidRPr="000D1AFD">
              <w:rPr>
                <w:sz w:val="20"/>
                <w:szCs w:val="20"/>
              </w:rPr>
              <w:t>S</w:t>
            </w:r>
            <w:r>
              <w:rPr>
                <w:sz w:val="20"/>
                <w:szCs w:val="20"/>
              </w:rPr>
              <w:t>3.1.2</w:t>
            </w:r>
          </w:p>
        </w:tc>
        <w:tc>
          <w:tcPr>
            <w:tcW w:w="1605" w:type="dxa"/>
          </w:tcPr>
          <w:p w14:paraId="7A9AE9DC" w14:textId="77777777" w:rsidR="00DD1050" w:rsidRPr="000D1AFD" w:rsidRDefault="00DD1050" w:rsidP="00DD1050">
            <w:pPr>
              <w:pStyle w:val="Bullet"/>
              <w:numPr>
                <w:ilvl w:val="0"/>
                <w:numId w:val="0"/>
              </w:numPr>
              <w:spacing w:before="40" w:after="40"/>
              <w:rPr>
                <w:sz w:val="20"/>
                <w:szCs w:val="20"/>
              </w:rPr>
            </w:pPr>
            <w:r w:rsidRPr="000D1AFD">
              <w:rPr>
                <w:sz w:val="20"/>
                <w:szCs w:val="20"/>
              </w:rPr>
              <w:t>Add</w:t>
            </w:r>
          </w:p>
        </w:tc>
        <w:tc>
          <w:tcPr>
            <w:tcW w:w="5696" w:type="dxa"/>
          </w:tcPr>
          <w:p w14:paraId="240A8D17" w14:textId="23E31E9D" w:rsidR="00DD1050" w:rsidRPr="000D1AFD" w:rsidRDefault="005245B9" w:rsidP="00DD1050">
            <w:pPr>
              <w:pStyle w:val="Bullet"/>
              <w:numPr>
                <w:ilvl w:val="0"/>
                <w:numId w:val="0"/>
              </w:numPr>
              <w:spacing w:before="40" w:after="40"/>
              <w:rPr>
                <w:sz w:val="20"/>
                <w:szCs w:val="20"/>
              </w:rPr>
            </w:pPr>
            <w:r>
              <w:rPr>
                <w:sz w:val="20"/>
                <w:szCs w:val="20"/>
              </w:rPr>
              <w:t xml:space="preserve">Email submissions </w:t>
            </w:r>
            <w:r w:rsidR="00813F0F">
              <w:rPr>
                <w:sz w:val="20"/>
                <w:szCs w:val="20"/>
              </w:rPr>
              <w:t>are not accepted</w:t>
            </w:r>
          </w:p>
        </w:tc>
        <w:tc>
          <w:tcPr>
            <w:tcW w:w="2585" w:type="dxa"/>
          </w:tcPr>
          <w:p w14:paraId="43D3820C" w14:textId="0AE23AD8" w:rsidR="00DD1050" w:rsidRPr="000D1AFD" w:rsidRDefault="00DD1050" w:rsidP="00DD1050">
            <w:pPr>
              <w:pStyle w:val="Bullet"/>
              <w:numPr>
                <w:ilvl w:val="0"/>
                <w:numId w:val="0"/>
              </w:numPr>
              <w:spacing w:before="40" w:after="40"/>
              <w:rPr>
                <w:sz w:val="20"/>
                <w:szCs w:val="20"/>
              </w:rPr>
            </w:pPr>
            <w:r>
              <w:rPr>
                <w:sz w:val="20"/>
                <w:szCs w:val="20"/>
              </w:rPr>
              <w:t>Updated from Annual FAQ v1.0 – A</w:t>
            </w:r>
            <w:r w:rsidR="005245B9">
              <w:rPr>
                <w:sz w:val="20"/>
                <w:szCs w:val="20"/>
              </w:rPr>
              <w:t>4</w:t>
            </w:r>
          </w:p>
        </w:tc>
      </w:tr>
      <w:tr w:rsidR="00DD1050" w:rsidRPr="00F85318" w14:paraId="3946060B" w14:textId="77777777" w:rsidTr="00DD1050">
        <w:tc>
          <w:tcPr>
            <w:tcW w:w="1063" w:type="dxa"/>
          </w:tcPr>
          <w:p w14:paraId="02FEABBA" w14:textId="7A5815A3" w:rsidR="00DD1050" w:rsidRPr="000D1AFD" w:rsidRDefault="00DD1050" w:rsidP="00DD1050">
            <w:pPr>
              <w:pStyle w:val="Bullet"/>
              <w:numPr>
                <w:ilvl w:val="0"/>
                <w:numId w:val="0"/>
              </w:numPr>
              <w:spacing w:before="40" w:after="40"/>
              <w:rPr>
                <w:sz w:val="20"/>
                <w:szCs w:val="20"/>
              </w:rPr>
            </w:pPr>
            <w:r w:rsidRPr="000D1AFD">
              <w:rPr>
                <w:sz w:val="20"/>
                <w:szCs w:val="20"/>
              </w:rPr>
              <w:t>V1.</w:t>
            </w:r>
            <w:r w:rsidR="00813F0F">
              <w:rPr>
                <w:sz w:val="20"/>
                <w:szCs w:val="20"/>
              </w:rPr>
              <w:t>1</w:t>
            </w:r>
          </w:p>
        </w:tc>
        <w:tc>
          <w:tcPr>
            <w:tcW w:w="2989" w:type="dxa"/>
          </w:tcPr>
          <w:p w14:paraId="7F0EBD0F" w14:textId="21B1C6A0" w:rsidR="00DD1050" w:rsidRPr="000D1AFD" w:rsidRDefault="00813F0F" w:rsidP="00DD1050">
            <w:pPr>
              <w:pStyle w:val="Bullet"/>
              <w:numPr>
                <w:ilvl w:val="0"/>
                <w:numId w:val="0"/>
              </w:numPr>
              <w:spacing w:before="40" w:after="40"/>
              <w:rPr>
                <w:sz w:val="20"/>
                <w:szCs w:val="20"/>
              </w:rPr>
            </w:pPr>
            <w:r>
              <w:rPr>
                <w:sz w:val="20"/>
                <w:szCs w:val="20"/>
              </w:rPr>
              <w:t>S3.3</w:t>
            </w:r>
          </w:p>
        </w:tc>
        <w:tc>
          <w:tcPr>
            <w:tcW w:w="1605" w:type="dxa"/>
          </w:tcPr>
          <w:p w14:paraId="7377D505" w14:textId="77777777" w:rsidR="00DD1050" w:rsidRPr="000D1AFD" w:rsidRDefault="00DD1050" w:rsidP="00DD1050">
            <w:pPr>
              <w:pStyle w:val="Bullet"/>
              <w:numPr>
                <w:ilvl w:val="0"/>
                <w:numId w:val="0"/>
              </w:numPr>
              <w:spacing w:before="40" w:after="40"/>
              <w:rPr>
                <w:sz w:val="20"/>
                <w:szCs w:val="20"/>
              </w:rPr>
            </w:pPr>
            <w:r>
              <w:rPr>
                <w:sz w:val="20"/>
                <w:szCs w:val="20"/>
              </w:rPr>
              <w:t>Add</w:t>
            </w:r>
          </w:p>
        </w:tc>
        <w:tc>
          <w:tcPr>
            <w:tcW w:w="5696" w:type="dxa"/>
          </w:tcPr>
          <w:p w14:paraId="5734193A" w14:textId="77777777" w:rsidR="00DD1050" w:rsidRPr="000D1AFD" w:rsidRDefault="00DD1050" w:rsidP="00DD1050">
            <w:pPr>
              <w:pStyle w:val="Bullet"/>
              <w:numPr>
                <w:ilvl w:val="0"/>
                <w:numId w:val="0"/>
              </w:numPr>
              <w:spacing w:before="40" w:after="40"/>
              <w:rPr>
                <w:sz w:val="20"/>
                <w:szCs w:val="20"/>
              </w:rPr>
            </w:pPr>
            <w:r w:rsidRPr="000D1AFD">
              <w:rPr>
                <w:sz w:val="20"/>
                <w:szCs w:val="20"/>
              </w:rPr>
              <w:t xml:space="preserve">Guidance on </w:t>
            </w:r>
            <w:r>
              <w:rPr>
                <w:sz w:val="20"/>
                <w:szCs w:val="20"/>
              </w:rPr>
              <w:t>resubmissions</w:t>
            </w:r>
          </w:p>
        </w:tc>
        <w:tc>
          <w:tcPr>
            <w:tcW w:w="2585" w:type="dxa"/>
          </w:tcPr>
          <w:p w14:paraId="04B89C04" w14:textId="705AF6FF" w:rsidR="00DD1050" w:rsidRPr="000D1AFD" w:rsidRDefault="00DD1050" w:rsidP="00DD1050">
            <w:pPr>
              <w:pStyle w:val="Bullet"/>
              <w:numPr>
                <w:ilvl w:val="0"/>
                <w:numId w:val="0"/>
              </w:numPr>
              <w:spacing w:before="40" w:after="40"/>
              <w:rPr>
                <w:sz w:val="20"/>
                <w:szCs w:val="20"/>
              </w:rPr>
            </w:pPr>
            <w:r>
              <w:rPr>
                <w:sz w:val="20"/>
                <w:szCs w:val="20"/>
              </w:rPr>
              <w:t xml:space="preserve"> Updated from Annual FAQ v1.0 – A</w:t>
            </w:r>
            <w:r w:rsidR="00813F0F">
              <w:rPr>
                <w:sz w:val="20"/>
                <w:szCs w:val="20"/>
              </w:rPr>
              <w:t>4</w:t>
            </w:r>
          </w:p>
        </w:tc>
      </w:tr>
      <w:tr w:rsidR="00DD1050" w:rsidRPr="00F85318" w14:paraId="3CBF1298" w14:textId="77777777" w:rsidTr="00DD1050">
        <w:tc>
          <w:tcPr>
            <w:tcW w:w="1063" w:type="dxa"/>
          </w:tcPr>
          <w:p w14:paraId="4E629D80" w14:textId="03804B72" w:rsidR="00DD1050" w:rsidRPr="000D1AFD" w:rsidRDefault="00DD1050" w:rsidP="00DD1050">
            <w:pPr>
              <w:pStyle w:val="Bullet"/>
              <w:numPr>
                <w:ilvl w:val="0"/>
                <w:numId w:val="0"/>
              </w:numPr>
              <w:spacing w:before="40" w:after="40"/>
              <w:rPr>
                <w:sz w:val="20"/>
                <w:szCs w:val="20"/>
              </w:rPr>
            </w:pPr>
            <w:r w:rsidRPr="000D1AFD">
              <w:rPr>
                <w:sz w:val="20"/>
                <w:szCs w:val="20"/>
              </w:rPr>
              <w:t>V1.</w:t>
            </w:r>
            <w:r w:rsidR="00813F0F">
              <w:rPr>
                <w:sz w:val="20"/>
                <w:szCs w:val="20"/>
              </w:rPr>
              <w:t>1</w:t>
            </w:r>
          </w:p>
        </w:tc>
        <w:tc>
          <w:tcPr>
            <w:tcW w:w="2989" w:type="dxa"/>
          </w:tcPr>
          <w:p w14:paraId="3841189C" w14:textId="2D5B37FE" w:rsidR="00DD1050" w:rsidRPr="000D1AFD" w:rsidRDefault="00813F0F" w:rsidP="00DD1050">
            <w:pPr>
              <w:pStyle w:val="Bullet"/>
              <w:numPr>
                <w:ilvl w:val="0"/>
                <w:numId w:val="0"/>
              </w:numPr>
              <w:spacing w:before="40" w:after="40"/>
              <w:rPr>
                <w:sz w:val="20"/>
                <w:szCs w:val="20"/>
              </w:rPr>
            </w:pPr>
            <w:r>
              <w:rPr>
                <w:sz w:val="20"/>
                <w:szCs w:val="20"/>
              </w:rPr>
              <w:t>S6.2.1</w:t>
            </w:r>
          </w:p>
        </w:tc>
        <w:tc>
          <w:tcPr>
            <w:tcW w:w="1605" w:type="dxa"/>
          </w:tcPr>
          <w:p w14:paraId="3459DBBC" w14:textId="77777777" w:rsidR="00DD1050" w:rsidRPr="000D1AFD" w:rsidRDefault="00DD1050" w:rsidP="00DD1050">
            <w:pPr>
              <w:pStyle w:val="Bullet"/>
              <w:numPr>
                <w:ilvl w:val="0"/>
                <w:numId w:val="0"/>
              </w:numPr>
              <w:spacing w:before="40" w:after="40"/>
              <w:rPr>
                <w:sz w:val="20"/>
                <w:szCs w:val="20"/>
              </w:rPr>
            </w:pPr>
            <w:r w:rsidRPr="000D1AFD">
              <w:rPr>
                <w:sz w:val="20"/>
                <w:szCs w:val="20"/>
              </w:rPr>
              <w:t>Update</w:t>
            </w:r>
          </w:p>
        </w:tc>
        <w:tc>
          <w:tcPr>
            <w:tcW w:w="5696" w:type="dxa"/>
          </w:tcPr>
          <w:p w14:paraId="764F8493" w14:textId="77777777" w:rsidR="00DD1050" w:rsidRPr="000D1AFD" w:rsidRDefault="00DD1050" w:rsidP="00DD1050">
            <w:pPr>
              <w:pStyle w:val="Bullet"/>
              <w:numPr>
                <w:ilvl w:val="0"/>
                <w:numId w:val="0"/>
              </w:numPr>
              <w:spacing w:before="40" w:after="40"/>
              <w:rPr>
                <w:sz w:val="20"/>
                <w:szCs w:val="20"/>
              </w:rPr>
            </w:pPr>
            <w:r w:rsidRPr="000D1AFD">
              <w:rPr>
                <w:sz w:val="20"/>
                <w:szCs w:val="20"/>
              </w:rPr>
              <w:t>Timetable updated</w:t>
            </w:r>
            <w:r>
              <w:rPr>
                <w:sz w:val="20"/>
                <w:szCs w:val="20"/>
              </w:rPr>
              <w:t>, removed past deadlines.</w:t>
            </w:r>
          </w:p>
        </w:tc>
        <w:tc>
          <w:tcPr>
            <w:tcW w:w="2585" w:type="dxa"/>
          </w:tcPr>
          <w:p w14:paraId="639DEDF7" w14:textId="77777777" w:rsidR="00DD1050" w:rsidRPr="000D1AFD" w:rsidRDefault="00DD1050" w:rsidP="00DD1050">
            <w:pPr>
              <w:pStyle w:val="Bullet"/>
              <w:numPr>
                <w:ilvl w:val="0"/>
                <w:numId w:val="0"/>
              </w:numPr>
              <w:spacing w:before="40" w:after="40"/>
              <w:rPr>
                <w:sz w:val="20"/>
                <w:szCs w:val="20"/>
              </w:rPr>
            </w:pPr>
            <w:r>
              <w:rPr>
                <w:sz w:val="20"/>
                <w:szCs w:val="20"/>
              </w:rPr>
              <w:t>Version Control</w:t>
            </w:r>
          </w:p>
        </w:tc>
      </w:tr>
    </w:tbl>
    <w:p w14:paraId="5E88903A" w14:textId="77777777" w:rsidR="00563928" w:rsidRPr="00302B18" w:rsidRDefault="00563928" w:rsidP="00302B18">
      <w:pPr>
        <w:rPr>
          <w:sz w:val="22"/>
          <w:szCs w:val="22"/>
          <w:lang w:val="en-US"/>
        </w:rPr>
      </w:pPr>
    </w:p>
    <w:sectPr w:rsidR="00563928" w:rsidRPr="00302B18" w:rsidSect="001B36ED">
      <w:pgSz w:w="16840" w:h="11907" w:orient="landscape" w:code="9"/>
      <w:pgMar w:top="1588" w:right="1531" w:bottom="1021" w:left="1361" w:header="11" w:footer="748"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ADEB6" w14:textId="77777777" w:rsidR="00F34918" w:rsidRDefault="00F34918">
      <w:r>
        <w:separator/>
      </w:r>
    </w:p>
    <w:p w14:paraId="691EE98C" w14:textId="77777777" w:rsidR="00F34918" w:rsidRDefault="00F34918"/>
  </w:endnote>
  <w:endnote w:type="continuationSeparator" w:id="0">
    <w:p w14:paraId="2E9B150B" w14:textId="77777777" w:rsidR="00F34918" w:rsidRDefault="00F34918">
      <w:r>
        <w:continuationSeparator/>
      </w:r>
    </w:p>
    <w:p w14:paraId="0E83257C" w14:textId="77777777" w:rsidR="00F34918" w:rsidRDefault="00F34918"/>
  </w:endnote>
  <w:endnote w:type="continuationNotice" w:id="1">
    <w:p w14:paraId="6CBEF81E" w14:textId="77777777" w:rsidR="00F34918" w:rsidRDefault="00F349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A033BE2B-4DD7-4FD4-B5E8-11879E7DB364}"/>
  </w:font>
  <w:font w:name="MS Gothic">
    <w:altName w:val="ＭＳ ゴシック"/>
    <w:panose1 w:val="020B0609070205080204"/>
    <w:charset w:val="80"/>
    <w:family w:val="modern"/>
    <w:pitch w:val="fixed"/>
    <w:sig w:usb0="E00002FF" w:usb1="6AC7FDFB" w:usb2="08000012" w:usb3="00000000" w:csb0="0002009F" w:csb1="00000000"/>
  </w:font>
  <w:font w:name="Sansa Lloyds">
    <w:altName w:val="Calibri"/>
    <w:charset w:val="00"/>
    <w:family w:val="auto"/>
    <w:pitch w:val="variable"/>
    <w:sig w:usb0="80000023" w:usb1="40000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2" w:fontKey="{A3AD154E-3FB6-48E2-92D6-6977AF40B60F}"/>
  </w:font>
  <w:font w:name="Segoe UI">
    <w:panose1 w:val="020B0502040204020203"/>
    <w:charset w:val="00"/>
    <w:family w:val="swiss"/>
    <w:pitch w:val="variable"/>
    <w:sig w:usb0="E4002EFF" w:usb1="C000E47F" w:usb2="00000009" w:usb3="00000000" w:csb0="000001FF" w:csb1="00000000"/>
    <w:embedRegular r:id="rId3" w:fontKey="{E21478C6-F2DE-4D08-A886-9D7D6D6BF7E1}"/>
  </w:font>
  <w:font w:name="Calibri">
    <w:panose1 w:val="020F0502020204030204"/>
    <w:charset w:val="00"/>
    <w:family w:val="swiss"/>
    <w:pitch w:val="variable"/>
    <w:sig w:usb0="E4002EFF" w:usb1="C200247B" w:usb2="00000009" w:usb3="00000000" w:csb0="000001FF" w:csb1="00000000"/>
    <w:embedRegular r:id="rId4" w:fontKey="{3BF2C428-6A61-4420-BCCD-0C8B49D38F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F629" w14:textId="77777777" w:rsidR="003A30C5" w:rsidRPr="0058051B" w:rsidRDefault="003A30C5" w:rsidP="0058051B">
    <w:pPr>
      <w:ind w:right="46"/>
      <w:jc w:val="right"/>
      <w:rPr>
        <w:sz w:val="12"/>
        <w:szCs w:val="12"/>
      </w:rPr>
    </w:pPr>
  </w:p>
  <w:p w14:paraId="77C74042" w14:textId="4CB0AE19" w:rsidR="003A30C5" w:rsidRPr="008E03C9" w:rsidRDefault="003A30C5" w:rsidP="0058051B">
    <w:pPr>
      <w:ind w:right="46"/>
      <w:jc w:val="right"/>
      <w:rPr>
        <w:szCs w:val="18"/>
      </w:rPr>
    </w:pPr>
    <w:r w:rsidRPr="008E03C9">
      <w:rPr>
        <w:color w:val="2B579A"/>
        <w:szCs w:val="18"/>
        <w:shd w:val="clear" w:color="auto" w:fill="E6E6E6"/>
      </w:rPr>
      <w:fldChar w:fldCharType="begin"/>
    </w:r>
    <w:r w:rsidRPr="008E03C9">
      <w:rPr>
        <w:szCs w:val="18"/>
      </w:rPr>
      <w:instrText xml:space="preserve"> REF  class2  \* MERGEFORMAT </w:instrText>
    </w:r>
    <w:r w:rsidRPr="008E03C9">
      <w:rPr>
        <w:color w:val="2B579A"/>
        <w:szCs w:val="18"/>
        <w:shd w:val="clear" w:color="auto" w:fill="E6E6E6"/>
      </w:rPr>
      <w:fldChar w:fldCharType="separate"/>
    </w:r>
    <w:r w:rsidR="00CC4FD2" w:rsidRPr="008E03C9">
      <w:rPr>
        <w:szCs w:val="18"/>
      </w:rPr>
      <w:t xml:space="preserve"> </w:t>
    </w:r>
    <w:r w:rsidRPr="008E03C9">
      <w:rPr>
        <w:color w:val="2B579A"/>
        <w:szCs w:val="18"/>
        <w:shd w:val="clear" w:color="auto" w:fill="E6E6E6"/>
      </w:rPr>
      <w:fldChar w:fldCharType="end"/>
    </w:r>
  </w:p>
  <w:p w14:paraId="31F91B1D" w14:textId="0FE9090D" w:rsidR="003A30C5" w:rsidRPr="0058051B" w:rsidRDefault="003A30C5" w:rsidP="0058051B">
    <w:pPr>
      <w:pStyle w:val="Footer"/>
      <w:tabs>
        <w:tab w:val="clear" w:pos="4153"/>
        <w:tab w:val="clear" w:pos="8306"/>
        <w:tab w:val="right" w:pos="9639"/>
      </w:tabs>
      <w:ind w:right="46"/>
      <w:jc w:val="right"/>
      <w:rPr>
        <w:sz w:val="12"/>
        <w:szCs w:val="12"/>
      </w:rPr>
    </w:pPr>
    <w:r w:rsidRPr="0058051B">
      <w:rPr>
        <w:color w:val="2B579A"/>
        <w:sz w:val="12"/>
        <w:szCs w:val="12"/>
        <w:shd w:val="clear" w:color="auto" w:fill="E6E6E6"/>
      </w:rPr>
      <w:fldChar w:fldCharType="begin"/>
    </w:r>
    <w:r w:rsidRPr="0058051B">
      <w:rPr>
        <w:sz w:val="12"/>
        <w:szCs w:val="12"/>
      </w:rPr>
      <w:instrText xml:space="preserve"> FILENAME  \* Lower  \* MERGEFORMAT </w:instrText>
    </w:r>
    <w:r w:rsidRPr="0058051B">
      <w:rPr>
        <w:color w:val="2B579A"/>
        <w:sz w:val="12"/>
        <w:szCs w:val="12"/>
        <w:shd w:val="clear" w:color="auto" w:fill="E6E6E6"/>
      </w:rPr>
      <w:fldChar w:fldCharType="separate"/>
    </w:r>
    <w:r w:rsidR="00CC4FD2">
      <w:rPr>
        <w:noProof/>
        <w:sz w:val="12"/>
        <w:szCs w:val="12"/>
      </w:rPr>
      <w:t>lloyd's supplementary solvency data instructions v1.0 clean.docx</w:t>
    </w:r>
    <w:r w:rsidRPr="0058051B">
      <w:rPr>
        <w:color w:val="2B579A"/>
        <w:sz w:val="12"/>
        <w:szCs w:val="12"/>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33CDB" w14:textId="77777777" w:rsidR="0095550C" w:rsidRDefault="0095550C" w:rsidP="00B70292">
    <w:pPr>
      <w:shd w:val="clear" w:color="auto" w:fill="FFFFFF" w:themeFill="background1"/>
      <w:rPr>
        <w:rFonts w:eastAsiaTheme="majorEastAsia"/>
      </w:rPr>
    </w:pPr>
    <w:r w:rsidRPr="00D26882">
      <w:rPr>
        <w:rFonts w:eastAsiaTheme="majorEastAsia"/>
      </w:rPr>
      <w:ptab w:relativeTo="margin" w:alignment="right" w:leader="none"/>
    </w:r>
    <w:r w:rsidRPr="00D26882">
      <w:rPr>
        <w:rFonts w:eastAsiaTheme="majorEastAsia"/>
      </w:rPr>
      <w:t xml:space="preserve">Page </w:t>
    </w:r>
    <w:r w:rsidRPr="00B70292">
      <w:rPr>
        <w:rFonts w:asciiTheme="minorHAnsi" w:eastAsiaTheme="minorEastAsia" w:hAnsiTheme="minorHAnsi" w:cstheme="minorBidi"/>
      </w:rPr>
      <w:fldChar w:fldCharType="begin"/>
    </w:r>
    <w:r w:rsidRPr="00B70292">
      <w:instrText xml:space="preserve"> PAGE   \* MERGEFORMAT </w:instrText>
    </w:r>
    <w:r w:rsidRPr="00B70292">
      <w:rPr>
        <w:rFonts w:asciiTheme="minorHAnsi" w:eastAsiaTheme="minorEastAsia" w:hAnsiTheme="minorHAnsi" w:cstheme="minorBidi"/>
      </w:rPr>
      <w:fldChar w:fldCharType="separate"/>
    </w:r>
    <w:r w:rsidRPr="00B70292">
      <w:rPr>
        <w:rFonts w:asciiTheme="minorHAnsi" w:eastAsiaTheme="minorEastAsia" w:hAnsiTheme="minorHAnsi" w:cstheme="minorBidi"/>
      </w:rPr>
      <w:t>2</w:t>
    </w:r>
    <w:r w:rsidRPr="00B70292">
      <w:rPr>
        <w:rFonts w:eastAsiaTheme="majorEastAsia"/>
      </w:rPr>
      <w:fldChar w:fldCharType="end"/>
    </w:r>
  </w:p>
  <w:p w14:paraId="09E33366" w14:textId="0756403C" w:rsidR="00756E6F" w:rsidRDefault="00756E6F">
    <w:pPr>
      <w:pStyle w:val="Footer"/>
      <w:rPr>
        <w:rFonts w:eastAsiaTheme="major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DFBAA" w14:textId="3645471C" w:rsidR="003A30C5" w:rsidRPr="00E822C9" w:rsidRDefault="003A30C5" w:rsidP="00E822C9">
    <w:pPr>
      <w:ind w:right="46"/>
      <w:rPr>
        <w:sz w:val="20"/>
      </w:rPr>
    </w:pPr>
    <w:bookmarkStart w:id="0" w:name="class2"/>
    <w:r w:rsidRPr="008E03C9">
      <w:rPr>
        <w:szCs w:val="18"/>
      </w:rPr>
      <w:t xml:space="preserve"> </w:t>
    </w:r>
    <w:bookmarkEnd w:id="0"/>
  </w:p>
  <w:p w14:paraId="38BC7B8E" w14:textId="77777777" w:rsidR="003A30C5" w:rsidRPr="00130738" w:rsidRDefault="003A30C5" w:rsidP="003C5324">
    <w:pPr>
      <w:ind w:right="46"/>
      <w:jc w:val="right"/>
      <w:rPr>
        <w:sz w:val="12"/>
        <w:szCs w:val="1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04C64" w14:textId="77777777" w:rsidR="003A30C5" w:rsidRDefault="00392AC4" w:rsidP="003C5324">
    <w:pPr>
      <w:ind w:right="46"/>
      <w:jc w:val="right"/>
    </w:pPr>
    <w:r>
      <w:rPr>
        <w:noProof/>
        <w:color w:val="2B579A"/>
        <w:shd w:val="clear" w:color="auto" w:fill="E6E6E6"/>
      </w:rPr>
      <mc:AlternateContent>
        <mc:Choice Requires="wps">
          <w:drawing>
            <wp:anchor distT="0" distB="0" distL="114300" distR="114300" simplePos="1" relativeHeight="251658240" behindDoc="0" locked="0" layoutInCell="0" allowOverlap="1" wp14:anchorId="35B79E32" wp14:editId="603CC292">
              <wp:simplePos x="0" y="10229453"/>
              <wp:positionH relativeFrom="page">
                <wp:posOffset>0</wp:posOffset>
              </wp:positionH>
              <wp:positionV relativeFrom="page">
                <wp:posOffset>10229215</wp:posOffset>
              </wp:positionV>
              <wp:extent cx="7560945" cy="273050"/>
              <wp:effectExtent l="0" t="0" r="0" b="12700"/>
              <wp:wrapNone/>
              <wp:docPr id="4" name="MSIPCM88a8451c873f21873e020fd9" descr="{&quot;HashCode&quot;:-829928686,&quot;Height&quot;:842.0,&quot;Width&quot;:595.0,&quot;Placement&quot;:&quot;Foot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0ADCB9" w14:textId="77777777" w:rsidR="00392AC4" w:rsidRPr="00392AC4" w:rsidRDefault="00392AC4" w:rsidP="00392AC4">
                          <w:pPr>
                            <w:spacing w:after="0"/>
                            <w:jc w:val="center"/>
                            <w:rPr>
                              <w:rFonts w:ascii="Calibri" w:hAnsi="Calibri" w:cs="Calibri"/>
                              <w:color w:val="000000"/>
                              <w:sz w:val="20"/>
                            </w:rPr>
                          </w:pPr>
                          <w:r w:rsidRPr="00392AC4">
                            <w:rPr>
                              <w:rFonts w:ascii="Calibri" w:hAnsi="Calibri" w:cs="Calibri"/>
                              <w:color w:val="000000"/>
                              <w:sz w:val="20"/>
                            </w:rPr>
                            <w:t>Classification: Confidential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5B79E32" id="_x0000_t202" coordsize="21600,21600" o:spt="202" path="m,l,21600r21600,l21600,xe">
              <v:stroke joinstyle="miter"/>
              <v:path gradientshapeok="t" o:connecttype="rect"/>
            </v:shapetype>
            <v:shape id="MSIPCM88a8451c873f21873e020fd9" o:spid="_x0000_s1026" type="#_x0000_t202" alt="{&quot;HashCode&quot;:-829928686,&quot;Height&quot;:842.0,&quot;Width&quot;:595.0,&quot;Placement&quot;:&quot;Footer&quot;,&quot;Index&quot;:&quot;FirstPage&quot;,&quot;Section&quot;:3,&quot;Top&quot;:0.0,&quot;Left&quot;:0.0}" style="position:absolute;left:0;text-align:left;margin-left:0;margin-top:805.45pt;width:595.35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00ADCB9" w14:textId="77777777" w:rsidR="00392AC4" w:rsidRPr="00392AC4" w:rsidRDefault="00392AC4" w:rsidP="00392AC4">
                    <w:pPr>
                      <w:spacing w:after="0"/>
                      <w:jc w:val="center"/>
                      <w:rPr>
                        <w:rFonts w:ascii="Calibri" w:hAnsi="Calibri" w:cs="Calibri"/>
                        <w:color w:val="000000"/>
                        <w:sz w:val="20"/>
                      </w:rPr>
                    </w:pPr>
                    <w:r w:rsidRPr="00392AC4">
                      <w:rPr>
                        <w:rFonts w:ascii="Calibri" w:hAnsi="Calibri" w:cs="Calibri"/>
                        <w:color w:val="000000"/>
                        <w:sz w:val="20"/>
                      </w:rPr>
                      <w:t>Classification: Confidential</w:t>
                    </w:r>
                  </w:p>
                </w:txbxContent>
              </v:textbox>
              <w10:wrap anchorx="page" anchory="page"/>
            </v:shape>
          </w:pict>
        </mc:Fallback>
      </mc:AlternateContent>
    </w:r>
  </w:p>
  <w:p w14:paraId="561F6295" w14:textId="5A466FB0" w:rsidR="003A30C5" w:rsidRPr="00E560D7" w:rsidRDefault="006B68A6" w:rsidP="003C5324">
    <w:pPr>
      <w:ind w:right="46"/>
      <w:jc w:val="right"/>
    </w:pPr>
    <w:r>
      <w:fldChar w:fldCharType="begin"/>
    </w:r>
    <w:r>
      <w:instrText xml:space="preserve"> REF  class2 </w:instrText>
    </w:r>
    <w:r>
      <w:fldChar w:fldCharType="separate"/>
    </w:r>
    <w:r w:rsidR="00CC4FD2" w:rsidRPr="008E03C9">
      <w:rPr>
        <w:szCs w:val="18"/>
      </w:rPr>
      <w:t xml:space="preserve"> </w:t>
    </w:r>
    <w:r>
      <w:rPr>
        <w:szCs w:val="18"/>
      </w:rPr>
      <w:fldChar w:fldCharType="end"/>
    </w:r>
  </w:p>
  <w:p w14:paraId="0D15C832" w14:textId="4EFA71FA" w:rsidR="003A30C5" w:rsidRPr="008C1955" w:rsidRDefault="003A30C5" w:rsidP="003C5324">
    <w:pPr>
      <w:pStyle w:val="Footer"/>
      <w:tabs>
        <w:tab w:val="clear" w:pos="4153"/>
        <w:tab w:val="clear" w:pos="8306"/>
        <w:tab w:val="right" w:pos="9639"/>
      </w:tabs>
      <w:ind w:right="46"/>
      <w:jc w:val="right"/>
      <w:rPr>
        <w:szCs w:val="18"/>
      </w:rPr>
    </w:pPr>
    <w:r w:rsidRPr="00C970BB">
      <w:rPr>
        <w:color w:val="2B579A"/>
        <w:sz w:val="12"/>
        <w:szCs w:val="12"/>
        <w:shd w:val="clear" w:color="auto" w:fill="E6E6E6"/>
      </w:rPr>
      <w:fldChar w:fldCharType="begin"/>
    </w:r>
    <w:r w:rsidRPr="00C970BB">
      <w:rPr>
        <w:sz w:val="12"/>
        <w:szCs w:val="12"/>
      </w:rPr>
      <w:instrText xml:space="preserve"> FILENAME  \* Lower  \* MERGEFORMAT </w:instrText>
    </w:r>
    <w:r w:rsidRPr="00C970BB">
      <w:rPr>
        <w:color w:val="2B579A"/>
        <w:sz w:val="12"/>
        <w:szCs w:val="12"/>
        <w:shd w:val="clear" w:color="auto" w:fill="E6E6E6"/>
      </w:rPr>
      <w:fldChar w:fldCharType="separate"/>
    </w:r>
    <w:r w:rsidR="00CC4FD2">
      <w:rPr>
        <w:noProof/>
        <w:sz w:val="12"/>
        <w:szCs w:val="12"/>
      </w:rPr>
      <w:t>lloyd's supplementary solvency data instructions v1.0 clean.docx</w:t>
    </w:r>
    <w:r w:rsidRPr="00C970BB">
      <w:rPr>
        <w:color w:val="2B579A"/>
        <w:sz w:val="12"/>
        <w:szCs w:val="12"/>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516A8" w14:textId="77777777" w:rsidR="00F34918" w:rsidRDefault="00F34918">
      <w:r>
        <w:separator/>
      </w:r>
    </w:p>
    <w:p w14:paraId="11332FE2" w14:textId="77777777" w:rsidR="00F34918" w:rsidRDefault="00F34918"/>
  </w:footnote>
  <w:footnote w:type="continuationSeparator" w:id="0">
    <w:p w14:paraId="40C15013" w14:textId="77777777" w:rsidR="00F34918" w:rsidRDefault="00F34918">
      <w:r>
        <w:continuationSeparator/>
      </w:r>
    </w:p>
    <w:p w14:paraId="5329CA3C" w14:textId="77777777" w:rsidR="00F34918" w:rsidRDefault="00F34918"/>
  </w:footnote>
  <w:footnote w:type="continuationNotice" w:id="1">
    <w:p w14:paraId="0BA81720" w14:textId="77777777" w:rsidR="00F34918" w:rsidRDefault="00F349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dxa"/>
      <w:tblLook w:val="01E0" w:firstRow="1" w:lastRow="1" w:firstColumn="1" w:lastColumn="1" w:noHBand="0" w:noVBand="0"/>
    </w:tblPr>
    <w:tblGrid>
      <w:gridCol w:w="9724"/>
    </w:tblGrid>
    <w:tr w:rsidR="003A30C5" w14:paraId="48251946" w14:textId="77777777" w:rsidTr="00E746A6">
      <w:tc>
        <w:tcPr>
          <w:tcW w:w="9724" w:type="dxa"/>
        </w:tcPr>
        <w:p w14:paraId="656E00E4" w14:textId="77777777" w:rsidR="003A30C5" w:rsidRDefault="003A30C5" w:rsidP="00E746A6">
          <w:pPr>
            <w:pStyle w:val="Header"/>
            <w:spacing w:after="0" w:line="240" w:lineRule="auto"/>
            <w:ind w:left="1701" w:firstLine="1560"/>
            <w:jc w:val="right"/>
            <w:rPr>
              <w:b/>
              <w:sz w:val="15"/>
              <w:szCs w:val="15"/>
            </w:rPr>
          </w:pPr>
          <w:r>
            <w:rPr>
              <w:b/>
              <w:color w:val="2B579A"/>
              <w:sz w:val="15"/>
              <w:szCs w:val="15"/>
              <w:shd w:val="clear" w:color="auto" w:fill="E6E6E6"/>
            </w:rPr>
            <w:fldChar w:fldCharType="begin"/>
          </w:r>
          <w:r>
            <w:rPr>
              <w:b/>
              <w:sz w:val="15"/>
              <w:szCs w:val="15"/>
            </w:rPr>
            <w:instrText xml:space="preserve"> PAGE  \* Arabic  \* MERGEFORMAT </w:instrText>
          </w:r>
          <w:r>
            <w:rPr>
              <w:b/>
              <w:color w:val="2B579A"/>
              <w:sz w:val="15"/>
              <w:szCs w:val="15"/>
              <w:shd w:val="clear" w:color="auto" w:fill="E6E6E6"/>
            </w:rPr>
            <w:fldChar w:fldCharType="separate"/>
          </w:r>
          <w:r w:rsidR="007F3B2A">
            <w:rPr>
              <w:b/>
              <w:noProof/>
              <w:sz w:val="15"/>
              <w:szCs w:val="15"/>
            </w:rPr>
            <w:t>4</w:t>
          </w:r>
          <w:r>
            <w:rPr>
              <w:b/>
              <w:color w:val="2B579A"/>
              <w:sz w:val="15"/>
              <w:szCs w:val="15"/>
              <w:shd w:val="clear" w:color="auto" w:fill="E6E6E6"/>
            </w:rPr>
            <w:fldChar w:fldCharType="end"/>
          </w:r>
        </w:p>
      </w:tc>
    </w:tr>
  </w:tbl>
  <w:p w14:paraId="5247623A" w14:textId="6260C390" w:rsidR="003A30C5" w:rsidRPr="005A6D0B" w:rsidRDefault="003A30C5" w:rsidP="00684FAC">
    <w:pPr>
      <w:pStyle w:val="Header"/>
      <w:ind w:right="36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1E0" w:firstRow="1" w:lastRow="1" w:firstColumn="1" w:lastColumn="1" w:noHBand="0" w:noVBand="0"/>
    </w:tblPr>
    <w:tblGrid>
      <w:gridCol w:w="9298"/>
    </w:tblGrid>
    <w:tr w:rsidR="003A30C5" w14:paraId="7D1545C6" w14:textId="77777777" w:rsidTr="00CE674E">
      <w:tc>
        <w:tcPr>
          <w:tcW w:w="9298" w:type="dxa"/>
        </w:tcPr>
        <w:p w14:paraId="127712B4" w14:textId="77777777" w:rsidR="003A30C5" w:rsidRPr="007F3B2A" w:rsidRDefault="003A30C5" w:rsidP="00E77013">
          <w:pPr>
            <w:pStyle w:val="Header"/>
            <w:spacing w:after="0" w:line="240" w:lineRule="auto"/>
            <w:jc w:val="right"/>
            <w:rPr>
              <w:b/>
              <w:sz w:val="28"/>
              <w:szCs w:val="28"/>
            </w:rPr>
          </w:pPr>
        </w:p>
      </w:tc>
    </w:tr>
  </w:tbl>
  <w:p w14:paraId="3422BA96" w14:textId="353B4D78" w:rsidR="003A30C5" w:rsidRPr="007F3B2A" w:rsidRDefault="003A30C5" w:rsidP="00684FAC">
    <w:pPr>
      <w:pStyle w:val="Header"/>
      <w:ind w:right="360"/>
      <w:jc w:val="both"/>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C2F02" w14:textId="52B7706C" w:rsidR="003A30C5" w:rsidRDefault="006703E5">
    <w:pPr>
      <w:pStyle w:val="Header"/>
    </w:pPr>
    <w:r>
      <w:rPr>
        <w:noProof/>
        <w:color w:val="2B579A"/>
        <w:shd w:val="clear" w:color="auto" w:fill="E6E6E6"/>
      </w:rPr>
      <w:drawing>
        <wp:anchor distT="0" distB="0" distL="114300" distR="114300" simplePos="0" relativeHeight="251658241" behindDoc="1" locked="0" layoutInCell="1" allowOverlap="1" wp14:anchorId="470E6EFD" wp14:editId="2CEA39DA">
          <wp:simplePos x="0" y="0"/>
          <wp:positionH relativeFrom="margin">
            <wp:align>left</wp:align>
          </wp:positionH>
          <wp:positionV relativeFrom="paragraph">
            <wp:posOffset>38100</wp:posOffset>
          </wp:positionV>
          <wp:extent cx="1002665" cy="401320"/>
          <wp:effectExtent l="0" t="0" r="6985" b="0"/>
          <wp:wrapTight wrapText="bothSides">
            <wp:wrapPolygon edited="0">
              <wp:start x="0" y="0"/>
              <wp:lineTo x="0" y="20506"/>
              <wp:lineTo x="21340" y="20506"/>
              <wp:lineTo x="21340" y="0"/>
              <wp:lineTo x="0" y="0"/>
            </wp:wrapPolygon>
          </wp:wrapTight>
          <wp:docPr id="207002172" name="Picture 20700217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02665" cy="40132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0F5BA" w14:textId="0F0C8D5D" w:rsidR="00340344" w:rsidRDefault="0034034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8EF20" w14:textId="6F97D3DE" w:rsidR="00340344" w:rsidRDefault="0034034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76812" w14:textId="3F17CC7C" w:rsidR="003A30C5" w:rsidRPr="005A6D0B" w:rsidRDefault="003A30C5" w:rsidP="00F35772">
    <w:pPr>
      <w:pStyle w:val="Header"/>
      <w:framePr w:wrap="around" w:vAnchor="text" w:hAnchor="margin" w:xAlign="right" w:y="1"/>
      <w:rPr>
        <w:rStyle w:val="PageNumber"/>
        <w:b/>
        <w:sz w:val="15"/>
        <w:szCs w:val="15"/>
      </w:rPr>
    </w:pPr>
    <w:r w:rsidRPr="005A6D0B">
      <w:rPr>
        <w:rStyle w:val="PageNumber"/>
        <w:b/>
        <w:sz w:val="15"/>
        <w:szCs w:val="15"/>
      </w:rPr>
      <w:fldChar w:fldCharType="begin"/>
    </w:r>
    <w:r w:rsidRPr="005A6D0B">
      <w:rPr>
        <w:rStyle w:val="PageNumber"/>
        <w:b/>
        <w:sz w:val="15"/>
        <w:szCs w:val="15"/>
      </w:rPr>
      <w:instrText xml:space="preserve">PAGE  </w:instrText>
    </w:r>
    <w:r w:rsidRPr="005A6D0B">
      <w:rPr>
        <w:rStyle w:val="PageNumber"/>
        <w:b/>
        <w:sz w:val="15"/>
        <w:szCs w:val="15"/>
      </w:rPr>
      <w:fldChar w:fldCharType="separate"/>
    </w:r>
    <w:r>
      <w:rPr>
        <w:rStyle w:val="PageNumber"/>
        <w:b/>
        <w:noProof/>
        <w:sz w:val="15"/>
        <w:szCs w:val="15"/>
      </w:rPr>
      <w:t>4</w:t>
    </w:r>
    <w:r w:rsidRPr="005A6D0B">
      <w:rPr>
        <w:rStyle w:val="PageNumber"/>
        <w:b/>
        <w:sz w:val="15"/>
        <w:szCs w:val="15"/>
      </w:rPr>
      <w:fldChar w:fldCharType="end"/>
    </w:r>
  </w:p>
  <w:p w14:paraId="5B40672F" w14:textId="77777777" w:rsidR="003A30C5" w:rsidRPr="005A6D0B" w:rsidRDefault="003A30C5" w:rsidP="005A6D0B">
    <w:pPr>
      <w:pStyle w:val="Header"/>
      <w:ind w:right="360"/>
      <w:rPr>
        <w:b/>
        <w:sz w:val="15"/>
        <w:szCs w:val="15"/>
      </w:rPr>
    </w:pPr>
  </w:p>
  <w:p w14:paraId="50C35E73" w14:textId="77777777" w:rsidR="00A672E5" w:rsidRDefault="00A672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A77"/>
    <w:multiLevelType w:val="hybridMultilevel"/>
    <w:tmpl w:val="935CADF0"/>
    <w:lvl w:ilvl="0" w:tplc="08090001">
      <w:start w:val="1"/>
      <w:numFmt w:val="bullet"/>
      <w:lvlText w:val=""/>
      <w:lvlJc w:val="left"/>
      <w:pPr>
        <w:ind w:left="-652" w:hanging="360"/>
      </w:pPr>
      <w:rPr>
        <w:rFonts w:ascii="Symbol" w:hAnsi="Symbol" w:hint="default"/>
      </w:rPr>
    </w:lvl>
    <w:lvl w:ilvl="1" w:tplc="08090003" w:tentative="1">
      <w:start w:val="1"/>
      <w:numFmt w:val="bullet"/>
      <w:lvlText w:val="o"/>
      <w:lvlJc w:val="left"/>
      <w:pPr>
        <w:ind w:left="68" w:hanging="360"/>
      </w:pPr>
      <w:rPr>
        <w:rFonts w:ascii="Courier New" w:hAnsi="Courier New" w:cs="Courier New" w:hint="default"/>
      </w:rPr>
    </w:lvl>
    <w:lvl w:ilvl="2" w:tplc="08090005" w:tentative="1">
      <w:start w:val="1"/>
      <w:numFmt w:val="bullet"/>
      <w:lvlText w:val=""/>
      <w:lvlJc w:val="left"/>
      <w:pPr>
        <w:ind w:left="788" w:hanging="360"/>
      </w:pPr>
      <w:rPr>
        <w:rFonts w:ascii="Wingdings" w:hAnsi="Wingdings" w:hint="default"/>
      </w:rPr>
    </w:lvl>
    <w:lvl w:ilvl="3" w:tplc="08090001">
      <w:start w:val="1"/>
      <w:numFmt w:val="bullet"/>
      <w:lvlText w:val=""/>
      <w:lvlJc w:val="left"/>
      <w:pPr>
        <w:ind w:left="1508" w:hanging="360"/>
      </w:pPr>
      <w:rPr>
        <w:rFonts w:ascii="Symbol" w:hAnsi="Symbol" w:hint="default"/>
      </w:rPr>
    </w:lvl>
    <w:lvl w:ilvl="4" w:tplc="08090003" w:tentative="1">
      <w:start w:val="1"/>
      <w:numFmt w:val="bullet"/>
      <w:lvlText w:val="o"/>
      <w:lvlJc w:val="left"/>
      <w:pPr>
        <w:ind w:left="2228" w:hanging="360"/>
      </w:pPr>
      <w:rPr>
        <w:rFonts w:ascii="Courier New" w:hAnsi="Courier New" w:cs="Courier New" w:hint="default"/>
      </w:rPr>
    </w:lvl>
    <w:lvl w:ilvl="5" w:tplc="08090005" w:tentative="1">
      <w:start w:val="1"/>
      <w:numFmt w:val="bullet"/>
      <w:lvlText w:val=""/>
      <w:lvlJc w:val="left"/>
      <w:pPr>
        <w:ind w:left="2948" w:hanging="360"/>
      </w:pPr>
      <w:rPr>
        <w:rFonts w:ascii="Wingdings" w:hAnsi="Wingdings" w:hint="default"/>
      </w:rPr>
    </w:lvl>
    <w:lvl w:ilvl="6" w:tplc="08090001" w:tentative="1">
      <w:start w:val="1"/>
      <w:numFmt w:val="bullet"/>
      <w:lvlText w:val=""/>
      <w:lvlJc w:val="left"/>
      <w:pPr>
        <w:ind w:left="3668" w:hanging="360"/>
      </w:pPr>
      <w:rPr>
        <w:rFonts w:ascii="Symbol" w:hAnsi="Symbol" w:hint="default"/>
      </w:rPr>
    </w:lvl>
    <w:lvl w:ilvl="7" w:tplc="08090003" w:tentative="1">
      <w:start w:val="1"/>
      <w:numFmt w:val="bullet"/>
      <w:lvlText w:val="o"/>
      <w:lvlJc w:val="left"/>
      <w:pPr>
        <w:ind w:left="4388" w:hanging="360"/>
      </w:pPr>
      <w:rPr>
        <w:rFonts w:ascii="Courier New" w:hAnsi="Courier New" w:cs="Courier New" w:hint="default"/>
      </w:rPr>
    </w:lvl>
    <w:lvl w:ilvl="8" w:tplc="08090005" w:tentative="1">
      <w:start w:val="1"/>
      <w:numFmt w:val="bullet"/>
      <w:lvlText w:val=""/>
      <w:lvlJc w:val="left"/>
      <w:pPr>
        <w:ind w:left="5108" w:hanging="360"/>
      </w:pPr>
      <w:rPr>
        <w:rFonts w:ascii="Wingdings" w:hAnsi="Wingdings" w:hint="default"/>
      </w:rPr>
    </w:lvl>
  </w:abstractNum>
  <w:abstractNum w:abstractNumId="1" w15:restartNumberingAfterBreak="0">
    <w:nsid w:val="071D15D6"/>
    <w:multiLevelType w:val="multilevel"/>
    <w:tmpl w:val="4FCCA978"/>
    <w:lvl w:ilvl="0">
      <w:start w:val="1"/>
      <w:numFmt w:val="decimal"/>
      <w:lvlText w:val="%1"/>
      <w:lvlJc w:val="right"/>
      <w:pPr>
        <w:tabs>
          <w:tab w:val="num" w:pos="0"/>
        </w:tabs>
        <w:ind w:left="0" w:hanging="85"/>
      </w:pPr>
      <w:rPr>
        <w:rFonts w:asciiTheme="majorHAnsi" w:hAnsiTheme="majorHAnsi" w:cstheme="majorHAnsi" w:hint="default"/>
        <w:b/>
        <w:bCs/>
        <w:i w:val="0"/>
        <w:sz w:val="32"/>
        <w:szCs w:val="32"/>
      </w:rPr>
    </w:lvl>
    <w:lvl w:ilvl="1">
      <w:start w:val="1"/>
      <w:numFmt w:val="decimal"/>
      <w:lvlText w:val="%1.%2"/>
      <w:lvlJc w:val="right"/>
      <w:pPr>
        <w:tabs>
          <w:tab w:val="num" w:pos="0"/>
        </w:tabs>
        <w:ind w:left="0" w:hanging="85"/>
      </w:pPr>
      <w:rPr>
        <w:rFonts w:hint="default"/>
      </w:rPr>
    </w:lvl>
    <w:lvl w:ilvl="2">
      <w:start w:val="1"/>
      <w:numFmt w:val="bullet"/>
      <w:lvlText w:val=""/>
      <w:lvlJc w:val="left"/>
      <w:pPr>
        <w:ind w:left="-652" w:hanging="360"/>
      </w:pPr>
      <w:rPr>
        <w:rFonts w:ascii="Symbol" w:hAnsi="Symbol" w:hint="default"/>
      </w:rPr>
    </w:lvl>
    <w:lvl w:ilvl="3">
      <w:start w:val="1"/>
      <w:numFmt w:val="bullet"/>
      <w:lvlText w:val=""/>
      <w:lvlJc w:val="left"/>
      <w:pPr>
        <w:ind w:left="275" w:hanging="360"/>
      </w:pPr>
      <w:rPr>
        <w:rFonts w:ascii="Symbol" w:hAnsi="Symbol" w:hint="default"/>
      </w:rPr>
    </w:lvl>
    <w:lvl w:ilvl="4">
      <w:start w:val="1"/>
      <w:numFmt w:val="decimal"/>
      <w:lvlText w:val="%1.%2.%3.%4.%5."/>
      <w:lvlJc w:val="left"/>
      <w:pPr>
        <w:tabs>
          <w:tab w:val="num" w:pos="2317"/>
        </w:tabs>
        <w:ind w:left="2317" w:hanging="792"/>
      </w:pPr>
      <w:rPr>
        <w:rFonts w:hint="default"/>
      </w:rPr>
    </w:lvl>
    <w:lvl w:ilvl="5">
      <w:start w:val="1"/>
      <w:numFmt w:val="decimal"/>
      <w:lvlText w:val="%1.%2.%3.%4.%5.%6."/>
      <w:lvlJc w:val="left"/>
      <w:pPr>
        <w:tabs>
          <w:tab w:val="num" w:pos="2821"/>
        </w:tabs>
        <w:ind w:left="2821" w:hanging="936"/>
      </w:pPr>
      <w:rPr>
        <w:rFonts w:hint="default"/>
      </w:rPr>
    </w:lvl>
    <w:lvl w:ilvl="6">
      <w:start w:val="1"/>
      <w:numFmt w:val="decimal"/>
      <w:lvlText w:val="%1.%2.%3.%4.%5.%6.%7."/>
      <w:lvlJc w:val="left"/>
      <w:pPr>
        <w:tabs>
          <w:tab w:val="num" w:pos="3325"/>
        </w:tabs>
        <w:ind w:left="3325" w:hanging="1080"/>
      </w:pPr>
      <w:rPr>
        <w:rFonts w:hint="default"/>
      </w:rPr>
    </w:lvl>
    <w:lvl w:ilvl="7">
      <w:start w:val="1"/>
      <w:numFmt w:val="decimal"/>
      <w:lvlText w:val="%1.%2.%3.%4.%5.%6.%7.%8."/>
      <w:lvlJc w:val="left"/>
      <w:pPr>
        <w:tabs>
          <w:tab w:val="num" w:pos="3829"/>
        </w:tabs>
        <w:ind w:left="3829" w:hanging="1224"/>
      </w:pPr>
      <w:rPr>
        <w:rFonts w:hint="default"/>
      </w:rPr>
    </w:lvl>
    <w:lvl w:ilvl="8">
      <w:start w:val="1"/>
      <w:numFmt w:val="decimal"/>
      <w:lvlText w:val="%1.%2.%3.%4.%5.%6.%7.%8.%9."/>
      <w:lvlJc w:val="left"/>
      <w:pPr>
        <w:tabs>
          <w:tab w:val="num" w:pos="4405"/>
        </w:tabs>
        <w:ind w:left="4405" w:hanging="1440"/>
      </w:pPr>
      <w:rPr>
        <w:rFonts w:hint="default"/>
      </w:rPr>
    </w:lvl>
  </w:abstractNum>
  <w:abstractNum w:abstractNumId="2" w15:restartNumberingAfterBreak="0">
    <w:nsid w:val="0D745902"/>
    <w:multiLevelType w:val="hybridMultilevel"/>
    <w:tmpl w:val="E8AEECBC"/>
    <w:lvl w:ilvl="0" w:tplc="A900E8FC">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44140"/>
    <w:multiLevelType w:val="hybridMultilevel"/>
    <w:tmpl w:val="0504BEDC"/>
    <w:lvl w:ilvl="0" w:tplc="A900E8FC">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04853"/>
    <w:multiLevelType w:val="hybridMultilevel"/>
    <w:tmpl w:val="1EA4E2CC"/>
    <w:lvl w:ilvl="0" w:tplc="538A281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596C47"/>
    <w:multiLevelType w:val="multilevel"/>
    <w:tmpl w:val="D016650E"/>
    <w:lvl w:ilvl="0">
      <w:start w:val="1"/>
      <w:numFmt w:val="decimal"/>
      <w:pStyle w:val="Heading1"/>
      <w:lvlText w:val="%1"/>
      <w:lvlJc w:val="right"/>
      <w:pPr>
        <w:tabs>
          <w:tab w:val="num" w:pos="0"/>
        </w:tabs>
        <w:ind w:left="0" w:hanging="85"/>
      </w:pPr>
      <w:rPr>
        <w:rFonts w:asciiTheme="majorHAnsi" w:hAnsiTheme="majorHAnsi" w:cstheme="majorHAnsi" w:hint="default"/>
        <w:b/>
        <w:bCs/>
        <w:i w:val="0"/>
        <w:sz w:val="32"/>
        <w:szCs w:val="32"/>
      </w:rPr>
    </w:lvl>
    <w:lvl w:ilvl="1">
      <w:start w:val="1"/>
      <w:numFmt w:val="decimal"/>
      <w:pStyle w:val="Heading2"/>
      <w:lvlText w:val="%1.%2"/>
      <w:lvlJc w:val="right"/>
      <w:pPr>
        <w:tabs>
          <w:tab w:val="num" w:pos="0"/>
        </w:tabs>
        <w:ind w:left="0" w:hanging="85"/>
      </w:pPr>
      <w:rPr>
        <w:rFonts w:hint="default"/>
      </w:rPr>
    </w:lvl>
    <w:lvl w:ilvl="2">
      <w:start w:val="1"/>
      <w:numFmt w:val="decimal"/>
      <w:pStyle w:val="Bullet"/>
      <w:lvlText w:val="%1.%2.%3"/>
      <w:lvlJc w:val="right"/>
      <w:pPr>
        <w:tabs>
          <w:tab w:val="num" w:pos="0"/>
        </w:tabs>
        <w:ind w:left="0" w:hanging="85"/>
      </w:pPr>
      <w:rPr>
        <w:b w:val="0"/>
        <w:bCs w:val="0"/>
      </w:rPr>
    </w:lvl>
    <w:lvl w:ilvl="3">
      <w:start w:val="1"/>
      <w:numFmt w:val="decimal"/>
      <w:pStyle w:val="Heading4"/>
      <w:lvlText w:val="%1.%2.%3.%4"/>
      <w:lvlJc w:val="right"/>
      <w:pPr>
        <w:tabs>
          <w:tab w:val="num" w:pos="0"/>
        </w:tabs>
        <w:ind w:left="0" w:hanging="85"/>
      </w:pPr>
      <w:rPr>
        <w:rFonts w:hint="default"/>
        <w:b w:val="0"/>
      </w:rPr>
    </w:lvl>
    <w:lvl w:ilvl="4">
      <w:start w:val="1"/>
      <w:numFmt w:val="decimal"/>
      <w:lvlText w:val="%1.%2.%3.%4.%5."/>
      <w:lvlJc w:val="left"/>
      <w:pPr>
        <w:tabs>
          <w:tab w:val="num" w:pos="2317"/>
        </w:tabs>
        <w:ind w:left="2317" w:hanging="792"/>
      </w:pPr>
      <w:rPr>
        <w:rFonts w:hint="default"/>
      </w:rPr>
    </w:lvl>
    <w:lvl w:ilvl="5">
      <w:start w:val="1"/>
      <w:numFmt w:val="decimal"/>
      <w:lvlText w:val="%1.%2.%3.%4.%5.%6."/>
      <w:lvlJc w:val="left"/>
      <w:pPr>
        <w:tabs>
          <w:tab w:val="num" w:pos="2821"/>
        </w:tabs>
        <w:ind w:left="2821" w:hanging="936"/>
      </w:pPr>
      <w:rPr>
        <w:rFonts w:hint="default"/>
      </w:rPr>
    </w:lvl>
    <w:lvl w:ilvl="6">
      <w:start w:val="1"/>
      <w:numFmt w:val="decimal"/>
      <w:lvlText w:val="%1.%2.%3.%4.%5.%6.%7."/>
      <w:lvlJc w:val="left"/>
      <w:pPr>
        <w:tabs>
          <w:tab w:val="num" w:pos="3325"/>
        </w:tabs>
        <w:ind w:left="3325" w:hanging="1080"/>
      </w:pPr>
      <w:rPr>
        <w:rFonts w:hint="default"/>
      </w:rPr>
    </w:lvl>
    <w:lvl w:ilvl="7">
      <w:start w:val="1"/>
      <w:numFmt w:val="decimal"/>
      <w:lvlText w:val="%1.%2.%3.%4.%5.%6.%7.%8."/>
      <w:lvlJc w:val="left"/>
      <w:pPr>
        <w:tabs>
          <w:tab w:val="num" w:pos="3829"/>
        </w:tabs>
        <w:ind w:left="3829" w:hanging="1224"/>
      </w:pPr>
      <w:rPr>
        <w:rFonts w:hint="default"/>
      </w:rPr>
    </w:lvl>
    <w:lvl w:ilvl="8">
      <w:start w:val="1"/>
      <w:numFmt w:val="decimal"/>
      <w:lvlText w:val="%1.%2.%3.%4.%5.%6.%7.%8.%9."/>
      <w:lvlJc w:val="left"/>
      <w:pPr>
        <w:tabs>
          <w:tab w:val="num" w:pos="4405"/>
        </w:tabs>
        <w:ind w:left="4405" w:hanging="1440"/>
      </w:pPr>
      <w:rPr>
        <w:rFonts w:hint="default"/>
      </w:rPr>
    </w:lvl>
  </w:abstractNum>
  <w:abstractNum w:abstractNumId="6" w15:restartNumberingAfterBreak="0">
    <w:nsid w:val="1E210C7F"/>
    <w:multiLevelType w:val="hybridMultilevel"/>
    <w:tmpl w:val="E9E0B51E"/>
    <w:lvl w:ilvl="0" w:tplc="1A14B6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255E5F"/>
    <w:multiLevelType w:val="hybridMultilevel"/>
    <w:tmpl w:val="4BD82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9F84DE2"/>
    <w:multiLevelType w:val="hybridMultilevel"/>
    <w:tmpl w:val="5EBCD362"/>
    <w:lvl w:ilvl="0" w:tplc="0BF2BF3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9C20D0"/>
    <w:multiLevelType w:val="hybridMultilevel"/>
    <w:tmpl w:val="340AF2C2"/>
    <w:lvl w:ilvl="0" w:tplc="2F6481BA">
      <w:start w:val="1"/>
      <w:numFmt w:val="bullet"/>
      <w:pStyle w:val="Bullets"/>
      <w:lvlText w:val=""/>
      <w:lvlJc w:val="left"/>
      <w:pPr>
        <w:tabs>
          <w:tab w:val="num" w:pos="0"/>
        </w:tabs>
        <w:ind w:left="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AD2CD8"/>
    <w:multiLevelType w:val="hybridMultilevel"/>
    <w:tmpl w:val="337A337C"/>
    <w:lvl w:ilvl="0" w:tplc="538A281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4602F5"/>
    <w:multiLevelType w:val="hybridMultilevel"/>
    <w:tmpl w:val="9C16749E"/>
    <w:lvl w:ilvl="0" w:tplc="D7904CC8">
      <w:start w:val="1"/>
      <w:numFmt w:val="bullet"/>
      <w:pStyle w:val="Sub-Bullets"/>
      <w:lvlText w:val="●"/>
      <w:lvlJc w:val="left"/>
      <w:pPr>
        <w:tabs>
          <w:tab w:val="num" w:pos="357"/>
        </w:tabs>
        <w:ind w:left="357" w:hanging="357"/>
      </w:pPr>
      <w:rPr>
        <w:rFonts w:ascii="Arial" w:hAnsi="Arial" w:hint="default"/>
        <w:color w:val="auto"/>
        <w14:shadow w14:blurRad="0" w14:dist="0" w14:dir="0" w14:sx="0" w14:sy="0" w14:kx="0" w14:ky="0" w14:algn="none">
          <w14:srgbClr w14:val="000000"/>
        </w14:shadow>
        <w14:textOutline w14:w="0" w14:cap="rnd" w14:cmpd="sng" w14:algn="ctr">
          <w14:noFill/>
          <w14:prstDash w14:val="solid"/>
          <w14:bevel/>
        </w14:textOutline>
        <w14:textFill>
          <w14:noFill/>
        </w14:textFill>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D218BC"/>
    <w:multiLevelType w:val="hybridMultilevel"/>
    <w:tmpl w:val="28A6BB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7BD0931"/>
    <w:multiLevelType w:val="hybridMultilevel"/>
    <w:tmpl w:val="CD70BB0E"/>
    <w:lvl w:ilvl="0" w:tplc="A900E8FC">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754E36"/>
    <w:multiLevelType w:val="hybridMultilevel"/>
    <w:tmpl w:val="83F4B808"/>
    <w:lvl w:ilvl="0" w:tplc="A900E8FC">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9A5156"/>
    <w:multiLevelType w:val="hybridMultilevel"/>
    <w:tmpl w:val="A3989498"/>
    <w:lvl w:ilvl="0" w:tplc="6C86A80E">
      <w:start w:val="1"/>
      <w:numFmt w:val="decimal"/>
      <w:pStyle w:val="NumberList"/>
      <w:lvlText w:val="%1"/>
      <w:lvlJc w:val="right"/>
      <w:pPr>
        <w:tabs>
          <w:tab w:val="num" w:pos="0"/>
        </w:tabs>
        <w:ind w:left="0" w:hanging="85"/>
      </w:pPr>
      <w:rPr>
        <w:rFonts w:ascii="Arial" w:hAnsi="Arial" w:hint="default"/>
        <w:b/>
        <w:i w:val="0"/>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485113EC"/>
    <w:multiLevelType w:val="hybridMultilevel"/>
    <w:tmpl w:val="3C40E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CB3935"/>
    <w:multiLevelType w:val="hybridMultilevel"/>
    <w:tmpl w:val="DE1A3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3B15AF"/>
    <w:multiLevelType w:val="hybridMultilevel"/>
    <w:tmpl w:val="0B341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3B09F8"/>
    <w:multiLevelType w:val="hybridMultilevel"/>
    <w:tmpl w:val="0082D5AE"/>
    <w:lvl w:ilvl="0" w:tplc="B65C8022">
      <w:start w:val="17"/>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2F82A77"/>
    <w:multiLevelType w:val="hybridMultilevel"/>
    <w:tmpl w:val="BD586F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ABF207E"/>
    <w:multiLevelType w:val="hybridMultilevel"/>
    <w:tmpl w:val="D24A0272"/>
    <w:lvl w:ilvl="0" w:tplc="04BE2B48">
      <w:start w:val="1"/>
      <w:numFmt w:val="lowerLetter"/>
      <w:pStyle w:val="LetterList"/>
      <w:lvlText w:val="%1"/>
      <w:lvlJc w:val="right"/>
      <w:pPr>
        <w:tabs>
          <w:tab w:val="num" w:pos="0"/>
        </w:tabs>
        <w:ind w:left="0" w:hanging="85"/>
      </w:pPr>
      <w:rPr>
        <w:rFonts w:ascii="Arial" w:hAnsi="Arial" w:hint="default"/>
        <w:b/>
        <w:i w:val="0"/>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5C8E06BA"/>
    <w:multiLevelType w:val="hybridMultilevel"/>
    <w:tmpl w:val="13A4E706"/>
    <w:lvl w:ilvl="0" w:tplc="BFE0ACEA">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DAC4E80"/>
    <w:multiLevelType w:val="hybridMultilevel"/>
    <w:tmpl w:val="7AE298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0AD1BF7"/>
    <w:multiLevelType w:val="hybridMultilevel"/>
    <w:tmpl w:val="31CE2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0A3F6C"/>
    <w:multiLevelType w:val="hybridMultilevel"/>
    <w:tmpl w:val="A4DADF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4212569"/>
    <w:multiLevelType w:val="hybridMultilevel"/>
    <w:tmpl w:val="CED43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212243"/>
    <w:multiLevelType w:val="hybridMultilevel"/>
    <w:tmpl w:val="29028E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A226690"/>
    <w:multiLevelType w:val="hybridMultilevel"/>
    <w:tmpl w:val="CB7AB20A"/>
    <w:lvl w:ilvl="0" w:tplc="A900E8FC">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975C69"/>
    <w:multiLevelType w:val="multilevel"/>
    <w:tmpl w:val="D774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557C66"/>
    <w:multiLevelType w:val="hybridMultilevel"/>
    <w:tmpl w:val="8A16F04A"/>
    <w:lvl w:ilvl="0" w:tplc="AE1282F6">
      <w:start w:val="1"/>
      <w:numFmt w:val="lowerLetter"/>
      <w:lvlText w:val="(%1)"/>
      <w:lvlJc w:val="left"/>
      <w:pPr>
        <w:ind w:left="1069" w:hanging="360"/>
      </w:pPr>
      <w:rPr>
        <w:rFonts w:hint="default"/>
        <w:b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1" w15:restartNumberingAfterBreak="0">
    <w:nsid w:val="74512333"/>
    <w:multiLevelType w:val="hybridMultilevel"/>
    <w:tmpl w:val="4E9AE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85A6710"/>
    <w:multiLevelType w:val="hybridMultilevel"/>
    <w:tmpl w:val="36DE52FC"/>
    <w:lvl w:ilvl="0" w:tplc="F38E21FA">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986AFF"/>
    <w:multiLevelType w:val="hybridMultilevel"/>
    <w:tmpl w:val="E9446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6911992">
    <w:abstractNumId w:val="15"/>
  </w:num>
  <w:num w:numId="2" w16cid:durableId="1541282015">
    <w:abstractNumId w:val="9"/>
  </w:num>
  <w:num w:numId="3" w16cid:durableId="697122639">
    <w:abstractNumId w:val="21"/>
  </w:num>
  <w:num w:numId="4" w16cid:durableId="1308827581">
    <w:abstractNumId w:val="11"/>
  </w:num>
  <w:num w:numId="5" w16cid:durableId="1369377006">
    <w:abstractNumId w:val="5"/>
  </w:num>
  <w:num w:numId="6" w16cid:durableId="922570313">
    <w:abstractNumId w:val="0"/>
  </w:num>
  <w:num w:numId="7" w16cid:durableId="2079087047">
    <w:abstractNumId w:val="33"/>
  </w:num>
  <w:num w:numId="8" w16cid:durableId="1879120512">
    <w:abstractNumId w:val="25"/>
  </w:num>
  <w:num w:numId="9" w16cid:durableId="641420584">
    <w:abstractNumId w:val="8"/>
  </w:num>
  <w:num w:numId="10" w16cid:durableId="17756615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9722069">
    <w:abstractNumId w:val="13"/>
  </w:num>
  <w:num w:numId="12" w16cid:durableId="797796885">
    <w:abstractNumId w:val="32"/>
  </w:num>
  <w:num w:numId="13" w16cid:durableId="1701390398">
    <w:abstractNumId w:val="2"/>
  </w:num>
  <w:num w:numId="14" w16cid:durableId="428038946">
    <w:abstractNumId w:val="28"/>
  </w:num>
  <w:num w:numId="15" w16cid:durableId="2015037324">
    <w:abstractNumId w:val="14"/>
  </w:num>
  <w:num w:numId="16" w16cid:durableId="1909143739">
    <w:abstractNumId w:val="3"/>
  </w:num>
  <w:num w:numId="17" w16cid:durableId="1101604027">
    <w:abstractNumId w:val="17"/>
  </w:num>
  <w:num w:numId="18" w16cid:durableId="899637757">
    <w:abstractNumId w:val="31"/>
  </w:num>
  <w:num w:numId="19" w16cid:durableId="1911188828">
    <w:abstractNumId w:val="1"/>
  </w:num>
  <w:num w:numId="20" w16cid:durableId="1192916118">
    <w:abstractNumId w:val="24"/>
  </w:num>
  <w:num w:numId="21" w16cid:durableId="245773396">
    <w:abstractNumId w:val="12"/>
  </w:num>
  <w:num w:numId="22" w16cid:durableId="1658026389">
    <w:abstractNumId w:val="4"/>
  </w:num>
  <w:num w:numId="23" w16cid:durableId="1282346522">
    <w:abstractNumId w:val="10"/>
  </w:num>
  <w:num w:numId="24" w16cid:durableId="1803427154">
    <w:abstractNumId w:val="6"/>
  </w:num>
  <w:num w:numId="25" w16cid:durableId="70852014">
    <w:abstractNumId w:val="18"/>
  </w:num>
  <w:num w:numId="26" w16cid:durableId="211355990">
    <w:abstractNumId w:val="16"/>
  </w:num>
  <w:num w:numId="27" w16cid:durableId="1762287613">
    <w:abstractNumId w:val="5"/>
  </w:num>
  <w:num w:numId="28" w16cid:durableId="1219826442">
    <w:abstractNumId w:val="5"/>
  </w:num>
  <w:num w:numId="29" w16cid:durableId="1500267601">
    <w:abstractNumId w:val="7"/>
  </w:num>
  <w:num w:numId="30" w16cid:durableId="1810514450">
    <w:abstractNumId w:val="22"/>
  </w:num>
  <w:num w:numId="31" w16cid:durableId="56126736">
    <w:abstractNumId w:val="19"/>
  </w:num>
  <w:num w:numId="32" w16cid:durableId="285738539">
    <w:abstractNumId w:val="30"/>
  </w:num>
  <w:num w:numId="33" w16cid:durableId="1360858701">
    <w:abstractNumId w:val="20"/>
  </w:num>
  <w:num w:numId="34" w16cid:durableId="1528912867">
    <w:abstractNumId w:val="23"/>
  </w:num>
  <w:num w:numId="35" w16cid:durableId="1765565986">
    <w:abstractNumId w:val="27"/>
  </w:num>
  <w:num w:numId="36" w16cid:durableId="626085554">
    <w:abstractNumId w:val="29"/>
  </w:num>
  <w:num w:numId="37" w16cid:durableId="1911958992">
    <w:abstractNumId w:val="5"/>
  </w:num>
  <w:num w:numId="38" w16cid:durableId="20587766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13588326">
    <w:abstractNumId w:val="5"/>
  </w:num>
  <w:num w:numId="40" w16cid:durableId="253586385">
    <w:abstractNumId w:val="5"/>
  </w:num>
  <w:num w:numId="41" w16cid:durableId="284822031">
    <w:abstractNumId w:val="5"/>
  </w:num>
  <w:num w:numId="42" w16cid:durableId="1850175086">
    <w:abstractNumId w:val="5"/>
  </w:num>
  <w:num w:numId="43" w16cid:durableId="1060597204">
    <w:abstractNumId w:val="5"/>
  </w:num>
  <w:num w:numId="44" w16cid:durableId="1343362152">
    <w:abstractNumId w:val="5"/>
  </w:num>
  <w:num w:numId="45" w16cid:durableId="353314354">
    <w:abstractNumId w:val="5"/>
  </w:num>
  <w:num w:numId="46" w16cid:durableId="1943537944">
    <w:abstractNumId w:val="5"/>
  </w:num>
  <w:num w:numId="47" w16cid:durableId="20701836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318054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245148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92894322">
    <w:abstractNumId w:val="5"/>
  </w:num>
  <w:num w:numId="51" w16cid:durableId="1424910765">
    <w:abstractNumId w:val="26"/>
  </w:num>
  <w:num w:numId="52" w16cid:durableId="527376667">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ctiveWritingStyle w:appName="MSWord" w:lang="en-GB" w:vendorID="64" w:dllVersion="0" w:nlCheck="1" w:checkStyle="0"/>
  <w:activeWritingStyle w:appName="MSWord" w:lang="en-US"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style="v-text-anchor:middle" fillcolor="#0c9" stroke="f">
      <v:fill color="#0c9"/>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rom" w:val=" "/>
    <w:docVar w:name="FromTitle" w:val=" "/>
  </w:docVars>
  <w:rsids>
    <w:rsidRoot w:val="00C2633C"/>
    <w:rsid w:val="000000D1"/>
    <w:rsid w:val="00000278"/>
    <w:rsid w:val="0000027D"/>
    <w:rsid w:val="000002D6"/>
    <w:rsid w:val="000003A0"/>
    <w:rsid w:val="0000069C"/>
    <w:rsid w:val="0000086F"/>
    <w:rsid w:val="00000A80"/>
    <w:rsid w:val="00000D87"/>
    <w:rsid w:val="00000DFD"/>
    <w:rsid w:val="00000E23"/>
    <w:rsid w:val="00000FD2"/>
    <w:rsid w:val="00001129"/>
    <w:rsid w:val="000011A8"/>
    <w:rsid w:val="000011D8"/>
    <w:rsid w:val="000013EB"/>
    <w:rsid w:val="000015BD"/>
    <w:rsid w:val="000015E8"/>
    <w:rsid w:val="00001627"/>
    <w:rsid w:val="00001800"/>
    <w:rsid w:val="0000187E"/>
    <w:rsid w:val="0000198A"/>
    <w:rsid w:val="00001A90"/>
    <w:rsid w:val="0000266E"/>
    <w:rsid w:val="00002A95"/>
    <w:rsid w:val="00002E9B"/>
    <w:rsid w:val="00002ECD"/>
    <w:rsid w:val="00002FAD"/>
    <w:rsid w:val="00003057"/>
    <w:rsid w:val="00003092"/>
    <w:rsid w:val="000031F4"/>
    <w:rsid w:val="000034FA"/>
    <w:rsid w:val="000036D2"/>
    <w:rsid w:val="0000387A"/>
    <w:rsid w:val="000041F0"/>
    <w:rsid w:val="00004412"/>
    <w:rsid w:val="000045FB"/>
    <w:rsid w:val="000048CF"/>
    <w:rsid w:val="00004D3F"/>
    <w:rsid w:val="000054BF"/>
    <w:rsid w:val="00005775"/>
    <w:rsid w:val="0000585A"/>
    <w:rsid w:val="00005955"/>
    <w:rsid w:val="00005D1B"/>
    <w:rsid w:val="00005F20"/>
    <w:rsid w:val="00005F29"/>
    <w:rsid w:val="00006021"/>
    <w:rsid w:val="000060A5"/>
    <w:rsid w:val="0000610A"/>
    <w:rsid w:val="000062E2"/>
    <w:rsid w:val="00006391"/>
    <w:rsid w:val="000066C9"/>
    <w:rsid w:val="000068D9"/>
    <w:rsid w:val="00006A89"/>
    <w:rsid w:val="00006B70"/>
    <w:rsid w:val="00006BFB"/>
    <w:rsid w:val="00006CBA"/>
    <w:rsid w:val="00006CC7"/>
    <w:rsid w:val="00006E84"/>
    <w:rsid w:val="00006F5E"/>
    <w:rsid w:val="000070AE"/>
    <w:rsid w:val="000070BD"/>
    <w:rsid w:val="00007299"/>
    <w:rsid w:val="00007354"/>
    <w:rsid w:val="000074DD"/>
    <w:rsid w:val="00007A42"/>
    <w:rsid w:val="000100B6"/>
    <w:rsid w:val="0001019D"/>
    <w:rsid w:val="00010537"/>
    <w:rsid w:val="000107E9"/>
    <w:rsid w:val="000109BD"/>
    <w:rsid w:val="00010A5A"/>
    <w:rsid w:val="00010B36"/>
    <w:rsid w:val="00010B70"/>
    <w:rsid w:val="00010C39"/>
    <w:rsid w:val="00010C6C"/>
    <w:rsid w:val="00011017"/>
    <w:rsid w:val="00011068"/>
    <w:rsid w:val="000110A9"/>
    <w:rsid w:val="0001122D"/>
    <w:rsid w:val="000113C8"/>
    <w:rsid w:val="000113DF"/>
    <w:rsid w:val="00011493"/>
    <w:rsid w:val="00011557"/>
    <w:rsid w:val="00011904"/>
    <w:rsid w:val="00011AFF"/>
    <w:rsid w:val="00011B08"/>
    <w:rsid w:val="00011FED"/>
    <w:rsid w:val="0001260F"/>
    <w:rsid w:val="00012927"/>
    <w:rsid w:val="00012AAF"/>
    <w:rsid w:val="00012B53"/>
    <w:rsid w:val="00012CEF"/>
    <w:rsid w:val="00012DFD"/>
    <w:rsid w:val="00012E5E"/>
    <w:rsid w:val="00012E8B"/>
    <w:rsid w:val="0001313B"/>
    <w:rsid w:val="0001366C"/>
    <w:rsid w:val="000136D9"/>
    <w:rsid w:val="0001376A"/>
    <w:rsid w:val="00013892"/>
    <w:rsid w:val="000138B0"/>
    <w:rsid w:val="000138F7"/>
    <w:rsid w:val="00013B00"/>
    <w:rsid w:val="00013DAE"/>
    <w:rsid w:val="00013EEB"/>
    <w:rsid w:val="00013F03"/>
    <w:rsid w:val="0001404B"/>
    <w:rsid w:val="00014367"/>
    <w:rsid w:val="00014381"/>
    <w:rsid w:val="00014ABB"/>
    <w:rsid w:val="00014BB6"/>
    <w:rsid w:val="00014DC3"/>
    <w:rsid w:val="00014F46"/>
    <w:rsid w:val="00015003"/>
    <w:rsid w:val="0001507E"/>
    <w:rsid w:val="00015128"/>
    <w:rsid w:val="000153CD"/>
    <w:rsid w:val="00015452"/>
    <w:rsid w:val="00015747"/>
    <w:rsid w:val="0001575C"/>
    <w:rsid w:val="00015903"/>
    <w:rsid w:val="00015ACF"/>
    <w:rsid w:val="00015C68"/>
    <w:rsid w:val="00015F7C"/>
    <w:rsid w:val="0001605E"/>
    <w:rsid w:val="000161F0"/>
    <w:rsid w:val="00016255"/>
    <w:rsid w:val="0001664F"/>
    <w:rsid w:val="00016794"/>
    <w:rsid w:val="000168DD"/>
    <w:rsid w:val="00016E1F"/>
    <w:rsid w:val="0001707B"/>
    <w:rsid w:val="0001716E"/>
    <w:rsid w:val="000171F4"/>
    <w:rsid w:val="0001720D"/>
    <w:rsid w:val="000174B4"/>
    <w:rsid w:val="0001752F"/>
    <w:rsid w:val="00017558"/>
    <w:rsid w:val="000175E0"/>
    <w:rsid w:val="00017827"/>
    <w:rsid w:val="000179E3"/>
    <w:rsid w:val="00017D29"/>
    <w:rsid w:val="00017ECF"/>
    <w:rsid w:val="0002008F"/>
    <w:rsid w:val="00020530"/>
    <w:rsid w:val="0002066B"/>
    <w:rsid w:val="000206E3"/>
    <w:rsid w:val="000207E9"/>
    <w:rsid w:val="00020B62"/>
    <w:rsid w:val="00020F0E"/>
    <w:rsid w:val="00020FD3"/>
    <w:rsid w:val="0002141F"/>
    <w:rsid w:val="0002142B"/>
    <w:rsid w:val="000217D3"/>
    <w:rsid w:val="00021899"/>
    <w:rsid w:val="00021A0C"/>
    <w:rsid w:val="00021AEB"/>
    <w:rsid w:val="00021AF3"/>
    <w:rsid w:val="00021AF7"/>
    <w:rsid w:val="00021C9C"/>
    <w:rsid w:val="00021FD4"/>
    <w:rsid w:val="00022076"/>
    <w:rsid w:val="0002261E"/>
    <w:rsid w:val="00022745"/>
    <w:rsid w:val="0002281A"/>
    <w:rsid w:val="00022A73"/>
    <w:rsid w:val="00022AE2"/>
    <w:rsid w:val="00022AE9"/>
    <w:rsid w:val="00022DAD"/>
    <w:rsid w:val="00022E36"/>
    <w:rsid w:val="00022FF6"/>
    <w:rsid w:val="0002319B"/>
    <w:rsid w:val="000234F9"/>
    <w:rsid w:val="000237E1"/>
    <w:rsid w:val="000238EC"/>
    <w:rsid w:val="00023969"/>
    <w:rsid w:val="00023E55"/>
    <w:rsid w:val="00023EE4"/>
    <w:rsid w:val="00023F07"/>
    <w:rsid w:val="00023F83"/>
    <w:rsid w:val="000240C7"/>
    <w:rsid w:val="00024357"/>
    <w:rsid w:val="00024439"/>
    <w:rsid w:val="0002468E"/>
    <w:rsid w:val="00024CB9"/>
    <w:rsid w:val="00024DAB"/>
    <w:rsid w:val="000250C5"/>
    <w:rsid w:val="0002525D"/>
    <w:rsid w:val="000252E1"/>
    <w:rsid w:val="00025710"/>
    <w:rsid w:val="000257A4"/>
    <w:rsid w:val="000257BD"/>
    <w:rsid w:val="00025CF9"/>
    <w:rsid w:val="00025DF9"/>
    <w:rsid w:val="00025FA9"/>
    <w:rsid w:val="000261A6"/>
    <w:rsid w:val="000261F9"/>
    <w:rsid w:val="0002634E"/>
    <w:rsid w:val="00026426"/>
    <w:rsid w:val="000264FD"/>
    <w:rsid w:val="000266DC"/>
    <w:rsid w:val="000269B4"/>
    <w:rsid w:val="000269D4"/>
    <w:rsid w:val="00026DE6"/>
    <w:rsid w:val="00026E4B"/>
    <w:rsid w:val="00026E70"/>
    <w:rsid w:val="00026E74"/>
    <w:rsid w:val="00026F21"/>
    <w:rsid w:val="00026F77"/>
    <w:rsid w:val="00026FBE"/>
    <w:rsid w:val="00026FC6"/>
    <w:rsid w:val="00027155"/>
    <w:rsid w:val="0002716D"/>
    <w:rsid w:val="0002735E"/>
    <w:rsid w:val="00027735"/>
    <w:rsid w:val="00027A04"/>
    <w:rsid w:val="00027C10"/>
    <w:rsid w:val="00027DA7"/>
    <w:rsid w:val="00030019"/>
    <w:rsid w:val="000301C2"/>
    <w:rsid w:val="0003024A"/>
    <w:rsid w:val="00030331"/>
    <w:rsid w:val="00030701"/>
    <w:rsid w:val="0003070B"/>
    <w:rsid w:val="00030846"/>
    <w:rsid w:val="00030900"/>
    <w:rsid w:val="000309EC"/>
    <w:rsid w:val="00030B3A"/>
    <w:rsid w:val="00030BFC"/>
    <w:rsid w:val="00030DBB"/>
    <w:rsid w:val="00030DC5"/>
    <w:rsid w:val="00030EBD"/>
    <w:rsid w:val="00030EEC"/>
    <w:rsid w:val="0003116C"/>
    <w:rsid w:val="00031231"/>
    <w:rsid w:val="00031558"/>
    <w:rsid w:val="00031729"/>
    <w:rsid w:val="00031762"/>
    <w:rsid w:val="000318F8"/>
    <w:rsid w:val="00031ABF"/>
    <w:rsid w:val="00031F18"/>
    <w:rsid w:val="0003213E"/>
    <w:rsid w:val="00032227"/>
    <w:rsid w:val="0003222D"/>
    <w:rsid w:val="00032381"/>
    <w:rsid w:val="000324DF"/>
    <w:rsid w:val="0003250A"/>
    <w:rsid w:val="000325B5"/>
    <w:rsid w:val="000325D6"/>
    <w:rsid w:val="000328F7"/>
    <w:rsid w:val="0003296B"/>
    <w:rsid w:val="000329BD"/>
    <w:rsid w:val="00032A72"/>
    <w:rsid w:val="00032D0F"/>
    <w:rsid w:val="00032EA7"/>
    <w:rsid w:val="00033212"/>
    <w:rsid w:val="00033367"/>
    <w:rsid w:val="0003372C"/>
    <w:rsid w:val="00033A87"/>
    <w:rsid w:val="00033D7C"/>
    <w:rsid w:val="00033DF3"/>
    <w:rsid w:val="00033E3E"/>
    <w:rsid w:val="00033EA4"/>
    <w:rsid w:val="00034147"/>
    <w:rsid w:val="000341BD"/>
    <w:rsid w:val="00034398"/>
    <w:rsid w:val="000345A7"/>
    <w:rsid w:val="000347A1"/>
    <w:rsid w:val="00034BA7"/>
    <w:rsid w:val="00034C77"/>
    <w:rsid w:val="00034D4C"/>
    <w:rsid w:val="00034D9E"/>
    <w:rsid w:val="00034E5A"/>
    <w:rsid w:val="000350F8"/>
    <w:rsid w:val="0003517E"/>
    <w:rsid w:val="000354B0"/>
    <w:rsid w:val="00035566"/>
    <w:rsid w:val="00035659"/>
    <w:rsid w:val="00035A91"/>
    <w:rsid w:val="00035D3E"/>
    <w:rsid w:val="00035E6C"/>
    <w:rsid w:val="00036098"/>
    <w:rsid w:val="00036347"/>
    <w:rsid w:val="00036353"/>
    <w:rsid w:val="000367B9"/>
    <w:rsid w:val="0003682E"/>
    <w:rsid w:val="0003683B"/>
    <w:rsid w:val="0003685A"/>
    <w:rsid w:val="000368CB"/>
    <w:rsid w:val="000368CD"/>
    <w:rsid w:val="00036C43"/>
    <w:rsid w:val="00036E94"/>
    <w:rsid w:val="0003710B"/>
    <w:rsid w:val="0003723F"/>
    <w:rsid w:val="0003739C"/>
    <w:rsid w:val="000373EE"/>
    <w:rsid w:val="0003748C"/>
    <w:rsid w:val="000375B8"/>
    <w:rsid w:val="000375FE"/>
    <w:rsid w:val="0003790F"/>
    <w:rsid w:val="0003798F"/>
    <w:rsid w:val="00037A27"/>
    <w:rsid w:val="00037A42"/>
    <w:rsid w:val="00037A8C"/>
    <w:rsid w:val="00037AB5"/>
    <w:rsid w:val="00037BCB"/>
    <w:rsid w:val="00040214"/>
    <w:rsid w:val="0004022C"/>
    <w:rsid w:val="0004029B"/>
    <w:rsid w:val="000402A9"/>
    <w:rsid w:val="000402E1"/>
    <w:rsid w:val="0004039F"/>
    <w:rsid w:val="00040478"/>
    <w:rsid w:val="00040810"/>
    <w:rsid w:val="000409E5"/>
    <w:rsid w:val="00040D35"/>
    <w:rsid w:val="00040FFA"/>
    <w:rsid w:val="0004101E"/>
    <w:rsid w:val="00041063"/>
    <w:rsid w:val="00041160"/>
    <w:rsid w:val="000412B4"/>
    <w:rsid w:val="000412B8"/>
    <w:rsid w:val="00041398"/>
    <w:rsid w:val="000413BA"/>
    <w:rsid w:val="00041511"/>
    <w:rsid w:val="000415AA"/>
    <w:rsid w:val="00041712"/>
    <w:rsid w:val="00041A0A"/>
    <w:rsid w:val="00041BC7"/>
    <w:rsid w:val="00041CCD"/>
    <w:rsid w:val="00041D42"/>
    <w:rsid w:val="00041D63"/>
    <w:rsid w:val="00041ECF"/>
    <w:rsid w:val="00042159"/>
    <w:rsid w:val="0004221C"/>
    <w:rsid w:val="0004239E"/>
    <w:rsid w:val="000426F5"/>
    <w:rsid w:val="0004271F"/>
    <w:rsid w:val="00042794"/>
    <w:rsid w:val="000427D0"/>
    <w:rsid w:val="0004284A"/>
    <w:rsid w:val="000428C3"/>
    <w:rsid w:val="000428CC"/>
    <w:rsid w:val="00042B21"/>
    <w:rsid w:val="00042DEC"/>
    <w:rsid w:val="00042EE0"/>
    <w:rsid w:val="00042FD8"/>
    <w:rsid w:val="00043070"/>
    <w:rsid w:val="000430AD"/>
    <w:rsid w:val="00043206"/>
    <w:rsid w:val="00043261"/>
    <w:rsid w:val="0004373B"/>
    <w:rsid w:val="0004375E"/>
    <w:rsid w:val="00043838"/>
    <w:rsid w:val="00043896"/>
    <w:rsid w:val="00043AB0"/>
    <w:rsid w:val="00043B8A"/>
    <w:rsid w:val="00043BE6"/>
    <w:rsid w:val="00043DB5"/>
    <w:rsid w:val="00043E3E"/>
    <w:rsid w:val="00043F2C"/>
    <w:rsid w:val="00043FFB"/>
    <w:rsid w:val="0004473F"/>
    <w:rsid w:val="000448FA"/>
    <w:rsid w:val="0004493C"/>
    <w:rsid w:val="00044AA2"/>
    <w:rsid w:val="00044AFA"/>
    <w:rsid w:val="00044E05"/>
    <w:rsid w:val="00044E19"/>
    <w:rsid w:val="00045488"/>
    <w:rsid w:val="000457C1"/>
    <w:rsid w:val="000457DF"/>
    <w:rsid w:val="00045AE2"/>
    <w:rsid w:val="00045B21"/>
    <w:rsid w:val="00045CA8"/>
    <w:rsid w:val="00045CD7"/>
    <w:rsid w:val="00045CF3"/>
    <w:rsid w:val="00045D5F"/>
    <w:rsid w:val="00045DCE"/>
    <w:rsid w:val="00045E0E"/>
    <w:rsid w:val="00045E22"/>
    <w:rsid w:val="00045EC5"/>
    <w:rsid w:val="00045EF0"/>
    <w:rsid w:val="00045F02"/>
    <w:rsid w:val="00045FC6"/>
    <w:rsid w:val="00046213"/>
    <w:rsid w:val="000462F2"/>
    <w:rsid w:val="000465DF"/>
    <w:rsid w:val="00046609"/>
    <w:rsid w:val="00046C10"/>
    <w:rsid w:val="00046C29"/>
    <w:rsid w:val="00047601"/>
    <w:rsid w:val="00047665"/>
    <w:rsid w:val="00047C63"/>
    <w:rsid w:val="00047D59"/>
    <w:rsid w:val="00047EBA"/>
    <w:rsid w:val="00050042"/>
    <w:rsid w:val="00050248"/>
    <w:rsid w:val="000503FB"/>
    <w:rsid w:val="000503FC"/>
    <w:rsid w:val="0005051B"/>
    <w:rsid w:val="00050613"/>
    <w:rsid w:val="000506CA"/>
    <w:rsid w:val="000508A3"/>
    <w:rsid w:val="00050AD7"/>
    <w:rsid w:val="00050CDB"/>
    <w:rsid w:val="00050DD6"/>
    <w:rsid w:val="00050ECE"/>
    <w:rsid w:val="00050F3A"/>
    <w:rsid w:val="00051248"/>
    <w:rsid w:val="0005192B"/>
    <w:rsid w:val="00051B3E"/>
    <w:rsid w:val="00051B72"/>
    <w:rsid w:val="00051FDE"/>
    <w:rsid w:val="000520AC"/>
    <w:rsid w:val="000520D6"/>
    <w:rsid w:val="0005211D"/>
    <w:rsid w:val="000524F9"/>
    <w:rsid w:val="000525FB"/>
    <w:rsid w:val="0005290C"/>
    <w:rsid w:val="00052C69"/>
    <w:rsid w:val="00052D1E"/>
    <w:rsid w:val="00052E35"/>
    <w:rsid w:val="00052F06"/>
    <w:rsid w:val="000530CF"/>
    <w:rsid w:val="00053428"/>
    <w:rsid w:val="000534BC"/>
    <w:rsid w:val="00053601"/>
    <w:rsid w:val="000537B4"/>
    <w:rsid w:val="00053840"/>
    <w:rsid w:val="00053BF0"/>
    <w:rsid w:val="00053E38"/>
    <w:rsid w:val="00054036"/>
    <w:rsid w:val="00054171"/>
    <w:rsid w:val="00054643"/>
    <w:rsid w:val="0005473B"/>
    <w:rsid w:val="00054C5F"/>
    <w:rsid w:val="00054EE4"/>
    <w:rsid w:val="00055171"/>
    <w:rsid w:val="000552E6"/>
    <w:rsid w:val="00055651"/>
    <w:rsid w:val="00055BA3"/>
    <w:rsid w:val="00055D44"/>
    <w:rsid w:val="00056276"/>
    <w:rsid w:val="00056444"/>
    <w:rsid w:val="000564ED"/>
    <w:rsid w:val="000565D9"/>
    <w:rsid w:val="00056692"/>
    <w:rsid w:val="0005682F"/>
    <w:rsid w:val="00056874"/>
    <w:rsid w:val="00056F41"/>
    <w:rsid w:val="000572CE"/>
    <w:rsid w:val="00057513"/>
    <w:rsid w:val="0005755B"/>
    <w:rsid w:val="00057710"/>
    <w:rsid w:val="00057787"/>
    <w:rsid w:val="00057886"/>
    <w:rsid w:val="00057BFF"/>
    <w:rsid w:val="00057C24"/>
    <w:rsid w:val="00057EC9"/>
    <w:rsid w:val="00057F2F"/>
    <w:rsid w:val="00057FD3"/>
    <w:rsid w:val="000601AB"/>
    <w:rsid w:val="00060478"/>
    <w:rsid w:val="0006057E"/>
    <w:rsid w:val="000606A6"/>
    <w:rsid w:val="000606C4"/>
    <w:rsid w:val="000608E8"/>
    <w:rsid w:val="000608F7"/>
    <w:rsid w:val="00060A66"/>
    <w:rsid w:val="00060D83"/>
    <w:rsid w:val="00060DCA"/>
    <w:rsid w:val="00060F0E"/>
    <w:rsid w:val="00060FD7"/>
    <w:rsid w:val="000610A7"/>
    <w:rsid w:val="000611A4"/>
    <w:rsid w:val="00061539"/>
    <w:rsid w:val="000619CB"/>
    <w:rsid w:val="00061A11"/>
    <w:rsid w:val="00061D64"/>
    <w:rsid w:val="0006211B"/>
    <w:rsid w:val="00062179"/>
    <w:rsid w:val="000624F6"/>
    <w:rsid w:val="000625DB"/>
    <w:rsid w:val="0006293D"/>
    <w:rsid w:val="000629B3"/>
    <w:rsid w:val="00062AE4"/>
    <w:rsid w:val="00062B67"/>
    <w:rsid w:val="00062BA6"/>
    <w:rsid w:val="00062BBB"/>
    <w:rsid w:val="00062C71"/>
    <w:rsid w:val="00062CC7"/>
    <w:rsid w:val="00062E8A"/>
    <w:rsid w:val="00062F61"/>
    <w:rsid w:val="00062FB2"/>
    <w:rsid w:val="00063169"/>
    <w:rsid w:val="000632C4"/>
    <w:rsid w:val="00063478"/>
    <w:rsid w:val="0006348F"/>
    <w:rsid w:val="000635AE"/>
    <w:rsid w:val="000638B5"/>
    <w:rsid w:val="00063AB7"/>
    <w:rsid w:val="00063D2E"/>
    <w:rsid w:val="00063E08"/>
    <w:rsid w:val="00064095"/>
    <w:rsid w:val="00064196"/>
    <w:rsid w:val="0006456F"/>
    <w:rsid w:val="00064617"/>
    <w:rsid w:val="0006462C"/>
    <w:rsid w:val="00064693"/>
    <w:rsid w:val="0006470A"/>
    <w:rsid w:val="00064A34"/>
    <w:rsid w:val="00064A99"/>
    <w:rsid w:val="00064BE3"/>
    <w:rsid w:val="000650A7"/>
    <w:rsid w:val="000652CC"/>
    <w:rsid w:val="00065367"/>
    <w:rsid w:val="000653CC"/>
    <w:rsid w:val="0006542E"/>
    <w:rsid w:val="00065701"/>
    <w:rsid w:val="0006595F"/>
    <w:rsid w:val="00065988"/>
    <w:rsid w:val="00065A05"/>
    <w:rsid w:val="00065A99"/>
    <w:rsid w:val="00065DBA"/>
    <w:rsid w:val="000663B5"/>
    <w:rsid w:val="000663C7"/>
    <w:rsid w:val="000663EF"/>
    <w:rsid w:val="000665FD"/>
    <w:rsid w:val="000667F5"/>
    <w:rsid w:val="0006688E"/>
    <w:rsid w:val="0006689F"/>
    <w:rsid w:val="00066DE7"/>
    <w:rsid w:val="00066EA9"/>
    <w:rsid w:val="000670B6"/>
    <w:rsid w:val="0006714B"/>
    <w:rsid w:val="00067195"/>
    <w:rsid w:val="000671FA"/>
    <w:rsid w:val="00067413"/>
    <w:rsid w:val="00067668"/>
    <w:rsid w:val="000676B4"/>
    <w:rsid w:val="0006798A"/>
    <w:rsid w:val="00067A0A"/>
    <w:rsid w:val="00067FF1"/>
    <w:rsid w:val="0007005B"/>
    <w:rsid w:val="0007014A"/>
    <w:rsid w:val="000705BE"/>
    <w:rsid w:val="00070627"/>
    <w:rsid w:val="000706A8"/>
    <w:rsid w:val="00070A9B"/>
    <w:rsid w:val="00070C74"/>
    <w:rsid w:val="00070D2E"/>
    <w:rsid w:val="00070D3F"/>
    <w:rsid w:val="00070EE2"/>
    <w:rsid w:val="00070EE8"/>
    <w:rsid w:val="00070FA0"/>
    <w:rsid w:val="00070FB5"/>
    <w:rsid w:val="00071519"/>
    <w:rsid w:val="00071560"/>
    <w:rsid w:val="00071688"/>
    <w:rsid w:val="00071BD4"/>
    <w:rsid w:val="00071EEF"/>
    <w:rsid w:val="00071EF6"/>
    <w:rsid w:val="00071F24"/>
    <w:rsid w:val="00072569"/>
    <w:rsid w:val="00072681"/>
    <w:rsid w:val="0007295B"/>
    <w:rsid w:val="0007299D"/>
    <w:rsid w:val="00072AD3"/>
    <w:rsid w:val="00072D7A"/>
    <w:rsid w:val="00072E34"/>
    <w:rsid w:val="00072EFD"/>
    <w:rsid w:val="00072F88"/>
    <w:rsid w:val="00073021"/>
    <w:rsid w:val="000730DA"/>
    <w:rsid w:val="000731C0"/>
    <w:rsid w:val="00073390"/>
    <w:rsid w:val="00073512"/>
    <w:rsid w:val="00073593"/>
    <w:rsid w:val="0007387A"/>
    <w:rsid w:val="000738A3"/>
    <w:rsid w:val="00073A42"/>
    <w:rsid w:val="00073A7C"/>
    <w:rsid w:val="00073FC3"/>
    <w:rsid w:val="00074110"/>
    <w:rsid w:val="000741AF"/>
    <w:rsid w:val="000742C3"/>
    <w:rsid w:val="000742FF"/>
    <w:rsid w:val="000743DE"/>
    <w:rsid w:val="000743E2"/>
    <w:rsid w:val="00074444"/>
    <w:rsid w:val="000744A9"/>
    <w:rsid w:val="00074546"/>
    <w:rsid w:val="00074A20"/>
    <w:rsid w:val="00074B2F"/>
    <w:rsid w:val="00074F17"/>
    <w:rsid w:val="00075006"/>
    <w:rsid w:val="00075058"/>
    <w:rsid w:val="000751F8"/>
    <w:rsid w:val="00075270"/>
    <w:rsid w:val="0007528C"/>
    <w:rsid w:val="000754A7"/>
    <w:rsid w:val="000756C0"/>
    <w:rsid w:val="000757E5"/>
    <w:rsid w:val="000759BC"/>
    <w:rsid w:val="00075A96"/>
    <w:rsid w:val="00075CB0"/>
    <w:rsid w:val="00075DD0"/>
    <w:rsid w:val="00076150"/>
    <w:rsid w:val="000761B3"/>
    <w:rsid w:val="00076285"/>
    <w:rsid w:val="00076373"/>
    <w:rsid w:val="00076394"/>
    <w:rsid w:val="000763AD"/>
    <w:rsid w:val="00076705"/>
    <w:rsid w:val="00076733"/>
    <w:rsid w:val="0007678F"/>
    <w:rsid w:val="0007686D"/>
    <w:rsid w:val="000769FB"/>
    <w:rsid w:val="00076BF0"/>
    <w:rsid w:val="00076D53"/>
    <w:rsid w:val="0007721B"/>
    <w:rsid w:val="000773DE"/>
    <w:rsid w:val="00077455"/>
    <w:rsid w:val="00077A82"/>
    <w:rsid w:val="00077A94"/>
    <w:rsid w:val="00077BB0"/>
    <w:rsid w:val="00077E55"/>
    <w:rsid w:val="000801AB"/>
    <w:rsid w:val="00080221"/>
    <w:rsid w:val="000802EE"/>
    <w:rsid w:val="00080591"/>
    <w:rsid w:val="000806D9"/>
    <w:rsid w:val="0008094F"/>
    <w:rsid w:val="00080A74"/>
    <w:rsid w:val="00080B9B"/>
    <w:rsid w:val="00080E70"/>
    <w:rsid w:val="00080E76"/>
    <w:rsid w:val="00080EC6"/>
    <w:rsid w:val="00080F28"/>
    <w:rsid w:val="00080FE0"/>
    <w:rsid w:val="000816CE"/>
    <w:rsid w:val="0008193E"/>
    <w:rsid w:val="00081B19"/>
    <w:rsid w:val="00081CB5"/>
    <w:rsid w:val="00081E0E"/>
    <w:rsid w:val="00082168"/>
    <w:rsid w:val="0008223B"/>
    <w:rsid w:val="00082341"/>
    <w:rsid w:val="000823B4"/>
    <w:rsid w:val="000823E5"/>
    <w:rsid w:val="00082723"/>
    <w:rsid w:val="00082D33"/>
    <w:rsid w:val="00082EDD"/>
    <w:rsid w:val="00082FDB"/>
    <w:rsid w:val="00083312"/>
    <w:rsid w:val="000833DE"/>
    <w:rsid w:val="00083518"/>
    <w:rsid w:val="00083575"/>
    <w:rsid w:val="00083794"/>
    <w:rsid w:val="000838EA"/>
    <w:rsid w:val="0008396C"/>
    <w:rsid w:val="00083DDA"/>
    <w:rsid w:val="00084171"/>
    <w:rsid w:val="000841A2"/>
    <w:rsid w:val="00084229"/>
    <w:rsid w:val="0008425A"/>
    <w:rsid w:val="0008448D"/>
    <w:rsid w:val="000844D2"/>
    <w:rsid w:val="00084592"/>
    <w:rsid w:val="000846C5"/>
    <w:rsid w:val="00084E9E"/>
    <w:rsid w:val="00084EBF"/>
    <w:rsid w:val="00084F5D"/>
    <w:rsid w:val="00085011"/>
    <w:rsid w:val="00085218"/>
    <w:rsid w:val="000852E9"/>
    <w:rsid w:val="0008546C"/>
    <w:rsid w:val="00085580"/>
    <w:rsid w:val="00085767"/>
    <w:rsid w:val="0008588C"/>
    <w:rsid w:val="00085A88"/>
    <w:rsid w:val="00085AD1"/>
    <w:rsid w:val="00085CFE"/>
    <w:rsid w:val="00085E9A"/>
    <w:rsid w:val="00085EFB"/>
    <w:rsid w:val="0008607E"/>
    <w:rsid w:val="00086281"/>
    <w:rsid w:val="00086378"/>
    <w:rsid w:val="000863E1"/>
    <w:rsid w:val="00086449"/>
    <w:rsid w:val="0008662F"/>
    <w:rsid w:val="00086798"/>
    <w:rsid w:val="0008680D"/>
    <w:rsid w:val="0008683A"/>
    <w:rsid w:val="00086BB5"/>
    <w:rsid w:val="00086CBF"/>
    <w:rsid w:val="0008710A"/>
    <w:rsid w:val="0008723F"/>
    <w:rsid w:val="000873F3"/>
    <w:rsid w:val="000877D4"/>
    <w:rsid w:val="00087B2C"/>
    <w:rsid w:val="00087BDF"/>
    <w:rsid w:val="00087C15"/>
    <w:rsid w:val="00087C6E"/>
    <w:rsid w:val="000902C1"/>
    <w:rsid w:val="000902E2"/>
    <w:rsid w:val="00090327"/>
    <w:rsid w:val="000903DB"/>
    <w:rsid w:val="00090865"/>
    <w:rsid w:val="00090B4C"/>
    <w:rsid w:val="00090DB8"/>
    <w:rsid w:val="0009129D"/>
    <w:rsid w:val="000912D0"/>
    <w:rsid w:val="00091351"/>
    <w:rsid w:val="0009140E"/>
    <w:rsid w:val="00091491"/>
    <w:rsid w:val="00091576"/>
    <w:rsid w:val="0009171B"/>
    <w:rsid w:val="000917B2"/>
    <w:rsid w:val="0009183E"/>
    <w:rsid w:val="0009194B"/>
    <w:rsid w:val="00091A55"/>
    <w:rsid w:val="00091B80"/>
    <w:rsid w:val="00091B96"/>
    <w:rsid w:val="00091BC8"/>
    <w:rsid w:val="00091D54"/>
    <w:rsid w:val="00091E60"/>
    <w:rsid w:val="00091EC5"/>
    <w:rsid w:val="000920D4"/>
    <w:rsid w:val="000920E4"/>
    <w:rsid w:val="0009213D"/>
    <w:rsid w:val="00092349"/>
    <w:rsid w:val="0009238A"/>
    <w:rsid w:val="00092584"/>
    <w:rsid w:val="00092999"/>
    <w:rsid w:val="00092EFA"/>
    <w:rsid w:val="00093034"/>
    <w:rsid w:val="00093172"/>
    <w:rsid w:val="00093263"/>
    <w:rsid w:val="000932AE"/>
    <w:rsid w:val="0009365C"/>
    <w:rsid w:val="00093683"/>
    <w:rsid w:val="000936CD"/>
    <w:rsid w:val="000937CC"/>
    <w:rsid w:val="00093882"/>
    <w:rsid w:val="0009394D"/>
    <w:rsid w:val="00093980"/>
    <w:rsid w:val="00093B33"/>
    <w:rsid w:val="00093B9A"/>
    <w:rsid w:val="00093BB5"/>
    <w:rsid w:val="00093D4D"/>
    <w:rsid w:val="000941A3"/>
    <w:rsid w:val="00094349"/>
    <w:rsid w:val="00094445"/>
    <w:rsid w:val="000944A0"/>
    <w:rsid w:val="000944BE"/>
    <w:rsid w:val="000946CC"/>
    <w:rsid w:val="000948D9"/>
    <w:rsid w:val="00094E93"/>
    <w:rsid w:val="00094EB5"/>
    <w:rsid w:val="0009503B"/>
    <w:rsid w:val="000953C2"/>
    <w:rsid w:val="00095723"/>
    <w:rsid w:val="00095A1E"/>
    <w:rsid w:val="00095BCC"/>
    <w:rsid w:val="00095E83"/>
    <w:rsid w:val="000960CE"/>
    <w:rsid w:val="000962D3"/>
    <w:rsid w:val="000962F1"/>
    <w:rsid w:val="000963C6"/>
    <w:rsid w:val="000967CB"/>
    <w:rsid w:val="00096CD0"/>
    <w:rsid w:val="00096DAA"/>
    <w:rsid w:val="00096DE4"/>
    <w:rsid w:val="000971BF"/>
    <w:rsid w:val="000979AE"/>
    <w:rsid w:val="00097BAD"/>
    <w:rsid w:val="00097DB9"/>
    <w:rsid w:val="00097EBF"/>
    <w:rsid w:val="000A02A8"/>
    <w:rsid w:val="000A05ED"/>
    <w:rsid w:val="000A06BA"/>
    <w:rsid w:val="000A0808"/>
    <w:rsid w:val="000A08D9"/>
    <w:rsid w:val="000A08F3"/>
    <w:rsid w:val="000A0913"/>
    <w:rsid w:val="000A0985"/>
    <w:rsid w:val="000A0D5E"/>
    <w:rsid w:val="000A0F45"/>
    <w:rsid w:val="000A12EC"/>
    <w:rsid w:val="000A136D"/>
    <w:rsid w:val="000A1382"/>
    <w:rsid w:val="000A153C"/>
    <w:rsid w:val="000A1580"/>
    <w:rsid w:val="000A168C"/>
    <w:rsid w:val="000A16DC"/>
    <w:rsid w:val="000A1987"/>
    <w:rsid w:val="000A19BE"/>
    <w:rsid w:val="000A1A0A"/>
    <w:rsid w:val="000A1A82"/>
    <w:rsid w:val="000A1BEF"/>
    <w:rsid w:val="000A1D90"/>
    <w:rsid w:val="000A1F1A"/>
    <w:rsid w:val="000A1FD2"/>
    <w:rsid w:val="000A25BE"/>
    <w:rsid w:val="000A2629"/>
    <w:rsid w:val="000A2B72"/>
    <w:rsid w:val="000A2BCA"/>
    <w:rsid w:val="000A2C22"/>
    <w:rsid w:val="000A2C86"/>
    <w:rsid w:val="000A300B"/>
    <w:rsid w:val="000A3171"/>
    <w:rsid w:val="000A3281"/>
    <w:rsid w:val="000A3410"/>
    <w:rsid w:val="000A3A8A"/>
    <w:rsid w:val="000A3B41"/>
    <w:rsid w:val="000A3B6C"/>
    <w:rsid w:val="000A3C60"/>
    <w:rsid w:val="000A3E2E"/>
    <w:rsid w:val="000A4078"/>
    <w:rsid w:val="000A4174"/>
    <w:rsid w:val="000A446C"/>
    <w:rsid w:val="000A4749"/>
    <w:rsid w:val="000A5114"/>
    <w:rsid w:val="000A51BA"/>
    <w:rsid w:val="000A525F"/>
    <w:rsid w:val="000A595F"/>
    <w:rsid w:val="000A5C9B"/>
    <w:rsid w:val="000A5DBB"/>
    <w:rsid w:val="000A6317"/>
    <w:rsid w:val="000A6330"/>
    <w:rsid w:val="000A6347"/>
    <w:rsid w:val="000A6823"/>
    <w:rsid w:val="000A6B91"/>
    <w:rsid w:val="000A6BD8"/>
    <w:rsid w:val="000A6E81"/>
    <w:rsid w:val="000A707C"/>
    <w:rsid w:val="000A70C1"/>
    <w:rsid w:val="000A70F9"/>
    <w:rsid w:val="000A721A"/>
    <w:rsid w:val="000A75F8"/>
    <w:rsid w:val="000A7769"/>
    <w:rsid w:val="000A7A54"/>
    <w:rsid w:val="000A7C8B"/>
    <w:rsid w:val="000B002B"/>
    <w:rsid w:val="000B02A1"/>
    <w:rsid w:val="000B03D8"/>
    <w:rsid w:val="000B05BC"/>
    <w:rsid w:val="000B067A"/>
    <w:rsid w:val="000B0901"/>
    <w:rsid w:val="000B0BAE"/>
    <w:rsid w:val="000B0CB3"/>
    <w:rsid w:val="000B0E5C"/>
    <w:rsid w:val="000B1035"/>
    <w:rsid w:val="000B122E"/>
    <w:rsid w:val="000B1286"/>
    <w:rsid w:val="000B179A"/>
    <w:rsid w:val="000B17EE"/>
    <w:rsid w:val="000B1843"/>
    <w:rsid w:val="000B1BA2"/>
    <w:rsid w:val="000B1C80"/>
    <w:rsid w:val="000B1EE7"/>
    <w:rsid w:val="000B1FB4"/>
    <w:rsid w:val="000B2090"/>
    <w:rsid w:val="000B22A9"/>
    <w:rsid w:val="000B23F7"/>
    <w:rsid w:val="000B240C"/>
    <w:rsid w:val="000B26CD"/>
    <w:rsid w:val="000B2C52"/>
    <w:rsid w:val="000B2C63"/>
    <w:rsid w:val="000B2CB0"/>
    <w:rsid w:val="000B2D74"/>
    <w:rsid w:val="000B2F48"/>
    <w:rsid w:val="000B305D"/>
    <w:rsid w:val="000B306D"/>
    <w:rsid w:val="000B30CC"/>
    <w:rsid w:val="000B30F5"/>
    <w:rsid w:val="000B31DF"/>
    <w:rsid w:val="000B3793"/>
    <w:rsid w:val="000B3BEC"/>
    <w:rsid w:val="000B3DD9"/>
    <w:rsid w:val="000B3FFA"/>
    <w:rsid w:val="000B44F4"/>
    <w:rsid w:val="000B4762"/>
    <w:rsid w:val="000B4979"/>
    <w:rsid w:val="000B4B71"/>
    <w:rsid w:val="000B4F9F"/>
    <w:rsid w:val="000B4FC2"/>
    <w:rsid w:val="000B51F7"/>
    <w:rsid w:val="000B538E"/>
    <w:rsid w:val="000B53CA"/>
    <w:rsid w:val="000B560C"/>
    <w:rsid w:val="000B5624"/>
    <w:rsid w:val="000B5675"/>
    <w:rsid w:val="000B569C"/>
    <w:rsid w:val="000B5E3B"/>
    <w:rsid w:val="000B6038"/>
    <w:rsid w:val="000B6644"/>
    <w:rsid w:val="000B68A6"/>
    <w:rsid w:val="000B6B2D"/>
    <w:rsid w:val="000B6E61"/>
    <w:rsid w:val="000B73D1"/>
    <w:rsid w:val="000B76E2"/>
    <w:rsid w:val="000B7738"/>
    <w:rsid w:val="000B7866"/>
    <w:rsid w:val="000B79AC"/>
    <w:rsid w:val="000B7CA2"/>
    <w:rsid w:val="000B7DC3"/>
    <w:rsid w:val="000C02A6"/>
    <w:rsid w:val="000C0366"/>
    <w:rsid w:val="000C03AA"/>
    <w:rsid w:val="000C0555"/>
    <w:rsid w:val="000C0693"/>
    <w:rsid w:val="000C0CA5"/>
    <w:rsid w:val="000C0F2E"/>
    <w:rsid w:val="000C1146"/>
    <w:rsid w:val="000C1212"/>
    <w:rsid w:val="000C1410"/>
    <w:rsid w:val="000C152F"/>
    <w:rsid w:val="000C1661"/>
    <w:rsid w:val="000C16AC"/>
    <w:rsid w:val="000C1F5B"/>
    <w:rsid w:val="000C20FF"/>
    <w:rsid w:val="000C213E"/>
    <w:rsid w:val="000C21CA"/>
    <w:rsid w:val="000C23BD"/>
    <w:rsid w:val="000C2738"/>
    <w:rsid w:val="000C28C7"/>
    <w:rsid w:val="000C2DA0"/>
    <w:rsid w:val="000C2EB9"/>
    <w:rsid w:val="000C2F6E"/>
    <w:rsid w:val="000C3285"/>
    <w:rsid w:val="000C350A"/>
    <w:rsid w:val="000C35AD"/>
    <w:rsid w:val="000C36A2"/>
    <w:rsid w:val="000C3713"/>
    <w:rsid w:val="000C3872"/>
    <w:rsid w:val="000C3E79"/>
    <w:rsid w:val="000C40D4"/>
    <w:rsid w:val="000C42F9"/>
    <w:rsid w:val="000C439D"/>
    <w:rsid w:val="000C4497"/>
    <w:rsid w:val="000C45A9"/>
    <w:rsid w:val="000C48E0"/>
    <w:rsid w:val="000C491D"/>
    <w:rsid w:val="000C4962"/>
    <w:rsid w:val="000C4984"/>
    <w:rsid w:val="000C4CFD"/>
    <w:rsid w:val="000C4FFD"/>
    <w:rsid w:val="000C511F"/>
    <w:rsid w:val="000C514F"/>
    <w:rsid w:val="000C5953"/>
    <w:rsid w:val="000C5EAE"/>
    <w:rsid w:val="000C619F"/>
    <w:rsid w:val="000C64AE"/>
    <w:rsid w:val="000C6D4C"/>
    <w:rsid w:val="000C6D7C"/>
    <w:rsid w:val="000C6E9D"/>
    <w:rsid w:val="000C6FB0"/>
    <w:rsid w:val="000C702B"/>
    <w:rsid w:val="000C71F3"/>
    <w:rsid w:val="000C720F"/>
    <w:rsid w:val="000C72D7"/>
    <w:rsid w:val="000C734C"/>
    <w:rsid w:val="000C7523"/>
    <w:rsid w:val="000C76F8"/>
    <w:rsid w:val="000C7781"/>
    <w:rsid w:val="000C796F"/>
    <w:rsid w:val="000C7A30"/>
    <w:rsid w:val="000C7AF0"/>
    <w:rsid w:val="000C7CF4"/>
    <w:rsid w:val="000D0059"/>
    <w:rsid w:val="000D0275"/>
    <w:rsid w:val="000D040E"/>
    <w:rsid w:val="000D061C"/>
    <w:rsid w:val="000D06B5"/>
    <w:rsid w:val="000D0A41"/>
    <w:rsid w:val="000D0C3D"/>
    <w:rsid w:val="000D0E44"/>
    <w:rsid w:val="000D1033"/>
    <w:rsid w:val="000D10F6"/>
    <w:rsid w:val="000D1222"/>
    <w:rsid w:val="000D1264"/>
    <w:rsid w:val="000D1489"/>
    <w:rsid w:val="000D1714"/>
    <w:rsid w:val="000D1720"/>
    <w:rsid w:val="000D17A8"/>
    <w:rsid w:val="000D1879"/>
    <w:rsid w:val="000D1A32"/>
    <w:rsid w:val="000D1BDF"/>
    <w:rsid w:val="000D1BFC"/>
    <w:rsid w:val="000D1DC2"/>
    <w:rsid w:val="000D28A4"/>
    <w:rsid w:val="000D298B"/>
    <w:rsid w:val="000D2A0C"/>
    <w:rsid w:val="000D2B8D"/>
    <w:rsid w:val="000D2D30"/>
    <w:rsid w:val="000D2DD7"/>
    <w:rsid w:val="000D2F75"/>
    <w:rsid w:val="000D3082"/>
    <w:rsid w:val="000D336C"/>
    <w:rsid w:val="000D3414"/>
    <w:rsid w:val="000D3549"/>
    <w:rsid w:val="000D38BD"/>
    <w:rsid w:val="000D38E8"/>
    <w:rsid w:val="000D38F8"/>
    <w:rsid w:val="000D3989"/>
    <w:rsid w:val="000D3AB5"/>
    <w:rsid w:val="000D3DCC"/>
    <w:rsid w:val="000D3E6F"/>
    <w:rsid w:val="000D3EB9"/>
    <w:rsid w:val="000D3ED7"/>
    <w:rsid w:val="000D42D8"/>
    <w:rsid w:val="000D437F"/>
    <w:rsid w:val="000D44A5"/>
    <w:rsid w:val="000D4A48"/>
    <w:rsid w:val="000D4B13"/>
    <w:rsid w:val="000D4B5D"/>
    <w:rsid w:val="000D5132"/>
    <w:rsid w:val="000D5300"/>
    <w:rsid w:val="000D53F4"/>
    <w:rsid w:val="000D56A0"/>
    <w:rsid w:val="000D5A80"/>
    <w:rsid w:val="000D5AB5"/>
    <w:rsid w:val="000D5B26"/>
    <w:rsid w:val="000D5CE3"/>
    <w:rsid w:val="000D5D58"/>
    <w:rsid w:val="000D5D7B"/>
    <w:rsid w:val="000D6169"/>
    <w:rsid w:val="000D627B"/>
    <w:rsid w:val="000D6418"/>
    <w:rsid w:val="000D6481"/>
    <w:rsid w:val="000D64B2"/>
    <w:rsid w:val="000D667B"/>
    <w:rsid w:val="000D66E5"/>
    <w:rsid w:val="000D67DF"/>
    <w:rsid w:val="000D6C20"/>
    <w:rsid w:val="000D6C60"/>
    <w:rsid w:val="000D6DAA"/>
    <w:rsid w:val="000D7055"/>
    <w:rsid w:val="000D71D8"/>
    <w:rsid w:val="000D7232"/>
    <w:rsid w:val="000D7248"/>
    <w:rsid w:val="000D767B"/>
    <w:rsid w:val="000D7716"/>
    <w:rsid w:val="000D7A65"/>
    <w:rsid w:val="000D7C80"/>
    <w:rsid w:val="000D7DCF"/>
    <w:rsid w:val="000D7E38"/>
    <w:rsid w:val="000D7EE1"/>
    <w:rsid w:val="000E02AB"/>
    <w:rsid w:val="000E02CA"/>
    <w:rsid w:val="000E03E0"/>
    <w:rsid w:val="000E077E"/>
    <w:rsid w:val="000E07C1"/>
    <w:rsid w:val="000E0838"/>
    <w:rsid w:val="000E09E5"/>
    <w:rsid w:val="000E09EF"/>
    <w:rsid w:val="000E0A2A"/>
    <w:rsid w:val="000E0A59"/>
    <w:rsid w:val="000E0A60"/>
    <w:rsid w:val="000E0FE9"/>
    <w:rsid w:val="000E120D"/>
    <w:rsid w:val="000E1354"/>
    <w:rsid w:val="000E1570"/>
    <w:rsid w:val="000E16D7"/>
    <w:rsid w:val="000E19F9"/>
    <w:rsid w:val="000E2005"/>
    <w:rsid w:val="000E21DB"/>
    <w:rsid w:val="000E22A0"/>
    <w:rsid w:val="000E22DB"/>
    <w:rsid w:val="000E2317"/>
    <w:rsid w:val="000E2891"/>
    <w:rsid w:val="000E2941"/>
    <w:rsid w:val="000E29D0"/>
    <w:rsid w:val="000E2BDC"/>
    <w:rsid w:val="000E2C99"/>
    <w:rsid w:val="000E2D52"/>
    <w:rsid w:val="000E3575"/>
    <w:rsid w:val="000E3859"/>
    <w:rsid w:val="000E38C8"/>
    <w:rsid w:val="000E3B69"/>
    <w:rsid w:val="000E3C15"/>
    <w:rsid w:val="000E3CF3"/>
    <w:rsid w:val="000E428B"/>
    <w:rsid w:val="000E42A6"/>
    <w:rsid w:val="000E42D4"/>
    <w:rsid w:val="000E43DB"/>
    <w:rsid w:val="000E4554"/>
    <w:rsid w:val="000E45B9"/>
    <w:rsid w:val="000E461C"/>
    <w:rsid w:val="000E49E7"/>
    <w:rsid w:val="000E4C51"/>
    <w:rsid w:val="000E4DA0"/>
    <w:rsid w:val="000E4F1C"/>
    <w:rsid w:val="000E4F9E"/>
    <w:rsid w:val="000E5141"/>
    <w:rsid w:val="000E520E"/>
    <w:rsid w:val="000E5300"/>
    <w:rsid w:val="000E544D"/>
    <w:rsid w:val="000E5473"/>
    <w:rsid w:val="000E5843"/>
    <w:rsid w:val="000E596D"/>
    <w:rsid w:val="000E5D9C"/>
    <w:rsid w:val="000E5E18"/>
    <w:rsid w:val="000E5E8F"/>
    <w:rsid w:val="000E60E1"/>
    <w:rsid w:val="000E60F0"/>
    <w:rsid w:val="000E6165"/>
    <w:rsid w:val="000E617C"/>
    <w:rsid w:val="000E62DF"/>
    <w:rsid w:val="000E631C"/>
    <w:rsid w:val="000E6328"/>
    <w:rsid w:val="000E647D"/>
    <w:rsid w:val="000E64E0"/>
    <w:rsid w:val="000E683A"/>
    <w:rsid w:val="000E686D"/>
    <w:rsid w:val="000E69C2"/>
    <w:rsid w:val="000E6AF1"/>
    <w:rsid w:val="000E6BF2"/>
    <w:rsid w:val="000E705F"/>
    <w:rsid w:val="000E73F6"/>
    <w:rsid w:val="000E7410"/>
    <w:rsid w:val="000E7513"/>
    <w:rsid w:val="000E7545"/>
    <w:rsid w:val="000E7964"/>
    <w:rsid w:val="000E7987"/>
    <w:rsid w:val="000E7A43"/>
    <w:rsid w:val="000E7AB9"/>
    <w:rsid w:val="000E7CD3"/>
    <w:rsid w:val="000E7D35"/>
    <w:rsid w:val="000E7FA4"/>
    <w:rsid w:val="000F0369"/>
    <w:rsid w:val="000F0501"/>
    <w:rsid w:val="000F0762"/>
    <w:rsid w:val="000F07F2"/>
    <w:rsid w:val="000F0AB3"/>
    <w:rsid w:val="000F0CA1"/>
    <w:rsid w:val="000F0DB2"/>
    <w:rsid w:val="000F0E52"/>
    <w:rsid w:val="000F0FD1"/>
    <w:rsid w:val="000F10B0"/>
    <w:rsid w:val="000F1364"/>
    <w:rsid w:val="000F1469"/>
    <w:rsid w:val="000F1669"/>
    <w:rsid w:val="000F1898"/>
    <w:rsid w:val="000F1985"/>
    <w:rsid w:val="000F1A1E"/>
    <w:rsid w:val="000F23D8"/>
    <w:rsid w:val="000F2423"/>
    <w:rsid w:val="000F2651"/>
    <w:rsid w:val="000F2675"/>
    <w:rsid w:val="000F2965"/>
    <w:rsid w:val="000F2CC2"/>
    <w:rsid w:val="000F2DFB"/>
    <w:rsid w:val="000F2E1B"/>
    <w:rsid w:val="000F2F0A"/>
    <w:rsid w:val="000F3034"/>
    <w:rsid w:val="000F3493"/>
    <w:rsid w:val="000F35EF"/>
    <w:rsid w:val="000F3AD3"/>
    <w:rsid w:val="000F3BB4"/>
    <w:rsid w:val="000F3CE2"/>
    <w:rsid w:val="000F3D69"/>
    <w:rsid w:val="000F3DA4"/>
    <w:rsid w:val="000F401B"/>
    <w:rsid w:val="000F43C6"/>
    <w:rsid w:val="000F4423"/>
    <w:rsid w:val="000F46ED"/>
    <w:rsid w:val="000F4717"/>
    <w:rsid w:val="000F4782"/>
    <w:rsid w:val="000F47EC"/>
    <w:rsid w:val="000F4965"/>
    <w:rsid w:val="000F4BF4"/>
    <w:rsid w:val="000F4C9B"/>
    <w:rsid w:val="000F5125"/>
    <w:rsid w:val="000F5511"/>
    <w:rsid w:val="000F57BE"/>
    <w:rsid w:val="000F5A3D"/>
    <w:rsid w:val="000F5B4D"/>
    <w:rsid w:val="000F5B87"/>
    <w:rsid w:val="000F5C2A"/>
    <w:rsid w:val="000F5D00"/>
    <w:rsid w:val="000F5EB3"/>
    <w:rsid w:val="000F6388"/>
    <w:rsid w:val="000F6398"/>
    <w:rsid w:val="000F6766"/>
    <w:rsid w:val="000F69C6"/>
    <w:rsid w:val="000F6B2E"/>
    <w:rsid w:val="000F6BA6"/>
    <w:rsid w:val="000F6D74"/>
    <w:rsid w:val="000F6E49"/>
    <w:rsid w:val="000F6EB4"/>
    <w:rsid w:val="000F6EFA"/>
    <w:rsid w:val="000F6F28"/>
    <w:rsid w:val="000F708C"/>
    <w:rsid w:val="000F71FB"/>
    <w:rsid w:val="000F7506"/>
    <w:rsid w:val="000F77FC"/>
    <w:rsid w:val="000F793B"/>
    <w:rsid w:val="000F7CC1"/>
    <w:rsid w:val="000F7DFA"/>
    <w:rsid w:val="000F7E6F"/>
    <w:rsid w:val="000F7EEC"/>
    <w:rsid w:val="000F7F4F"/>
    <w:rsid w:val="001000CE"/>
    <w:rsid w:val="0010019C"/>
    <w:rsid w:val="00100493"/>
    <w:rsid w:val="0010059D"/>
    <w:rsid w:val="001005B1"/>
    <w:rsid w:val="001006B8"/>
    <w:rsid w:val="00100705"/>
    <w:rsid w:val="001008F8"/>
    <w:rsid w:val="00100C94"/>
    <w:rsid w:val="00100CDF"/>
    <w:rsid w:val="00100E5C"/>
    <w:rsid w:val="0010115C"/>
    <w:rsid w:val="001011EB"/>
    <w:rsid w:val="001012A3"/>
    <w:rsid w:val="001013C3"/>
    <w:rsid w:val="00101602"/>
    <w:rsid w:val="0010162B"/>
    <w:rsid w:val="001016A3"/>
    <w:rsid w:val="0010184C"/>
    <w:rsid w:val="0010187D"/>
    <w:rsid w:val="00101E36"/>
    <w:rsid w:val="001020C2"/>
    <w:rsid w:val="00102251"/>
    <w:rsid w:val="001022BB"/>
    <w:rsid w:val="00102651"/>
    <w:rsid w:val="001028A8"/>
    <w:rsid w:val="001029EC"/>
    <w:rsid w:val="00102A51"/>
    <w:rsid w:val="00102A98"/>
    <w:rsid w:val="00102EB0"/>
    <w:rsid w:val="00102FCC"/>
    <w:rsid w:val="00102FF2"/>
    <w:rsid w:val="00103106"/>
    <w:rsid w:val="00103209"/>
    <w:rsid w:val="00103355"/>
    <w:rsid w:val="00103378"/>
    <w:rsid w:val="00103518"/>
    <w:rsid w:val="001035DB"/>
    <w:rsid w:val="001035DF"/>
    <w:rsid w:val="001037D5"/>
    <w:rsid w:val="0010399B"/>
    <w:rsid w:val="00103B61"/>
    <w:rsid w:val="00103CC7"/>
    <w:rsid w:val="00103CEF"/>
    <w:rsid w:val="00103FE2"/>
    <w:rsid w:val="00104232"/>
    <w:rsid w:val="00104250"/>
    <w:rsid w:val="001042F9"/>
    <w:rsid w:val="00104980"/>
    <w:rsid w:val="001049A9"/>
    <w:rsid w:val="00104FBB"/>
    <w:rsid w:val="00105003"/>
    <w:rsid w:val="00105012"/>
    <w:rsid w:val="001050D0"/>
    <w:rsid w:val="00105166"/>
    <w:rsid w:val="00105323"/>
    <w:rsid w:val="0010538B"/>
    <w:rsid w:val="00105431"/>
    <w:rsid w:val="001056EE"/>
    <w:rsid w:val="00105BCA"/>
    <w:rsid w:val="00105C25"/>
    <w:rsid w:val="00105E69"/>
    <w:rsid w:val="00105F5B"/>
    <w:rsid w:val="001062F1"/>
    <w:rsid w:val="0010633D"/>
    <w:rsid w:val="0010649F"/>
    <w:rsid w:val="0010667B"/>
    <w:rsid w:val="0010674C"/>
    <w:rsid w:val="00106786"/>
    <w:rsid w:val="00106A91"/>
    <w:rsid w:val="00106B3E"/>
    <w:rsid w:val="00106DF4"/>
    <w:rsid w:val="00106F92"/>
    <w:rsid w:val="00106FA2"/>
    <w:rsid w:val="001071C5"/>
    <w:rsid w:val="00107288"/>
    <w:rsid w:val="001072E6"/>
    <w:rsid w:val="001074F3"/>
    <w:rsid w:val="00107595"/>
    <w:rsid w:val="001075BA"/>
    <w:rsid w:val="0010795A"/>
    <w:rsid w:val="00107A25"/>
    <w:rsid w:val="00107D75"/>
    <w:rsid w:val="00107DCD"/>
    <w:rsid w:val="00107E14"/>
    <w:rsid w:val="0011008C"/>
    <w:rsid w:val="001103F6"/>
    <w:rsid w:val="00110564"/>
    <w:rsid w:val="0011078F"/>
    <w:rsid w:val="00110896"/>
    <w:rsid w:val="0011090B"/>
    <w:rsid w:val="001109F9"/>
    <w:rsid w:val="00110D09"/>
    <w:rsid w:val="001111F7"/>
    <w:rsid w:val="00111466"/>
    <w:rsid w:val="001114BC"/>
    <w:rsid w:val="001114E6"/>
    <w:rsid w:val="00111520"/>
    <w:rsid w:val="001116AB"/>
    <w:rsid w:val="001116D2"/>
    <w:rsid w:val="001117AE"/>
    <w:rsid w:val="00111963"/>
    <w:rsid w:val="001119E5"/>
    <w:rsid w:val="00111B5D"/>
    <w:rsid w:val="00111E52"/>
    <w:rsid w:val="00111E7D"/>
    <w:rsid w:val="00111EA6"/>
    <w:rsid w:val="00111F9B"/>
    <w:rsid w:val="00111FAE"/>
    <w:rsid w:val="0011204C"/>
    <w:rsid w:val="001122CE"/>
    <w:rsid w:val="0011232C"/>
    <w:rsid w:val="001127EC"/>
    <w:rsid w:val="001128AB"/>
    <w:rsid w:val="00112A9C"/>
    <w:rsid w:val="00112D76"/>
    <w:rsid w:val="0011304D"/>
    <w:rsid w:val="00113167"/>
    <w:rsid w:val="0011327E"/>
    <w:rsid w:val="00113319"/>
    <w:rsid w:val="00113437"/>
    <w:rsid w:val="001134B1"/>
    <w:rsid w:val="001137F8"/>
    <w:rsid w:val="00113864"/>
    <w:rsid w:val="00113968"/>
    <w:rsid w:val="00113C66"/>
    <w:rsid w:val="00113F69"/>
    <w:rsid w:val="00114084"/>
    <w:rsid w:val="00114388"/>
    <w:rsid w:val="00114530"/>
    <w:rsid w:val="0011484B"/>
    <w:rsid w:val="001148E9"/>
    <w:rsid w:val="00114E69"/>
    <w:rsid w:val="00115254"/>
    <w:rsid w:val="001155E0"/>
    <w:rsid w:val="00115740"/>
    <w:rsid w:val="00115AF0"/>
    <w:rsid w:val="00115AF2"/>
    <w:rsid w:val="00115EB8"/>
    <w:rsid w:val="00115F92"/>
    <w:rsid w:val="00116376"/>
    <w:rsid w:val="001165E6"/>
    <w:rsid w:val="00116714"/>
    <w:rsid w:val="00116916"/>
    <w:rsid w:val="00116D43"/>
    <w:rsid w:val="00116D5D"/>
    <w:rsid w:val="00116E7E"/>
    <w:rsid w:val="00116F36"/>
    <w:rsid w:val="0011730F"/>
    <w:rsid w:val="00117431"/>
    <w:rsid w:val="001176AC"/>
    <w:rsid w:val="001176D0"/>
    <w:rsid w:val="001178B1"/>
    <w:rsid w:val="00117F1E"/>
    <w:rsid w:val="00120086"/>
    <w:rsid w:val="00120251"/>
    <w:rsid w:val="0012042C"/>
    <w:rsid w:val="001204B1"/>
    <w:rsid w:val="00120535"/>
    <w:rsid w:val="001205A0"/>
    <w:rsid w:val="0012076B"/>
    <w:rsid w:val="0012084D"/>
    <w:rsid w:val="00120888"/>
    <w:rsid w:val="001208C3"/>
    <w:rsid w:val="001208CC"/>
    <w:rsid w:val="00120C50"/>
    <w:rsid w:val="00121029"/>
    <w:rsid w:val="0012108C"/>
    <w:rsid w:val="001212D8"/>
    <w:rsid w:val="0012175C"/>
    <w:rsid w:val="001219AF"/>
    <w:rsid w:val="00121A78"/>
    <w:rsid w:val="00121AAD"/>
    <w:rsid w:val="001220FB"/>
    <w:rsid w:val="0012235D"/>
    <w:rsid w:val="00122692"/>
    <w:rsid w:val="00122829"/>
    <w:rsid w:val="00122AD3"/>
    <w:rsid w:val="00122ADF"/>
    <w:rsid w:val="00122B8E"/>
    <w:rsid w:val="00122C9B"/>
    <w:rsid w:val="00122D39"/>
    <w:rsid w:val="00122F2E"/>
    <w:rsid w:val="00123082"/>
    <w:rsid w:val="00123137"/>
    <w:rsid w:val="0012314C"/>
    <w:rsid w:val="001231CB"/>
    <w:rsid w:val="001232C4"/>
    <w:rsid w:val="001234B9"/>
    <w:rsid w:val="0012371F"/>
    <w:rsid w:val="00123828"/>
    <w:rsid w:val="00123927"/>
    <w:rsid w:val="00123A3A"/>
    <w:rsid w:val="00123F8D"/>
    <w:rsid w:val="00124211"/>
    <w:rsid w:val="00124286"/>
    <w:rsid w:val="0012436A"/>
    <w:rsid w:val="00124600"/>
    <w:rsid w:val="001246F1"/>
    <w:rsid w:val="00124847"/>
    <w:rsid w:val="001249D8"/>
    <w:rsid w:val="00124AC4"/>
    <w:rsid w:val="00124B3A"/>
    <w:rsid w:val="00125065"/>
    <w:rsid w:val="0012548E"/>
    <w:rsid w:val="00125516"/>
    <w:rsid w:val="00125548"/>
    <w:rsid w:val="001255CF"/>
    <w:rsid w:val="00125670"/>
    <w:rsid w:val="001256A2"/>
    <w:rsid w:val="001256B8"/>
    <w:rsid w:val="00125971"/>
    <w:rsid w:val="00125A08"/>
    <w:rsid w:val="00125AB0"/>
    <w:rsid w:val="00125B6F"/>
    <w:rsid w:val="00125D48"/>
    <w:rsid w:val="00125EB6"/>
    <w:rsid w:val="00125F41"/>
    <w:rsid w:val="00126589"/>
    <w:rsid w:val="00126670"/>
    <w:rsid w:val="001268D2"/>
    <w:rsid w:val="00126966"/>
    <w:rsid w:val="00126B4B"/>
    <w:rsid w:val="00126CBA"/>
    <w:rsid w:val="00126D5A"/>
    <w:rsid w:val="001272D6"/>
    <w:rsid w:val="0012734B"/>
    <w:rsid w:val="001273F6"/>
    <w:rsid w:val="0012742F"/>
    <w:rsid w:val="00127879"/>
    <w:rsid w:val="00127A98"/>
    <w:rsid w:val="00127AEB"/>
    <w:rsid w:val="00127F64"/>
    <w:rsid w:val="001303C0"/>
    <w:rsid w:val="0013040E"/>
    <w:rsid w:val="00130738"/>
    <w:rsid w:val="001307BD"/>
    <w:rsid w:val="00130AF9"/>
    <w:rsid w:val="001311CE"/>
    <w:rsid w:val="00131209"/>
    <w:rsid w:val="00131282"/>
    <w:rsid w:val="001312A4"/>
    <w:rsid w:val="001313C2"/>
    <w:rsid w:val="001314F5"/>
    <w:rsid w:val="00131584"/>
    <w:rsid w:val="0013164F"/>
    <w:rsid w:val="001318E7"/>
    <w:rsid w:val="0013198D"/>
    <w:rsid w:val="00131A81"/>
    <w:rsid w:val="00131B68"/>
    <w:rsid w:val="00131DDC"/>
    <w:rsid w:val="00132033"/>
    <w:rsid w:val="001320F7"/>
    <w:rsid w:val="0013213F"/>
    <w:rsid w:val="0013219D"/>
    <w:rsid w:val="00132603"/>
    <w:rsid w:val="0013288F"/>
    <w:rsid w:val="00132A6C"/>
    <w:rsid w:val="00132D4D"/>
    <w:rsid w:val="00132F02"/>
    <w:rsid w:val="00133154"/>
    <w:rsid w:val="001331BB"/>
    <w:rsid w:val="001334BC"/>
    <w:rsid w:val="001335E3"/>
    <w:rsid w:val="00133668"/>
    <w:rsid w:val="00133742"/>
    <w:rsid w:val="001338BB"/>
    <w:rsid w:val="001338CF"/>
    <w:rsid w:val="001339E2"/>
    <w:rsid w:val="00133DBE"/>
    <w:rsid w:val="00133DD5"/>
    <w:rsid w:val="00134490"/>
    <w:rsid w:val="0013462C"/>
    <w:rsid w:val="0013488D"/>
    <w:rsid w:val="00134BE5"/>
    <w:rsid w:val="00134C50"/>
    <w:rsid w:val="00134EE6"/>
    <w:rsid w:val="00134FEE"/>
    <w:rsid w:val="00135398"/>
    <w:rsid w:val="0013539D"/>
    <w:rsid w:val="00135481"/>
    <w:rsid w:val="001354E3"/>
    <w:rsid w:val="0013577C"/>
    <w:rsid w:val="00135AEB"/>
    <w:rsid w:val="00135B2A"/>
    <w:rsid w:val="00135B5A"/>
    <w:rsid w:val="00136181"/>
    <w:rsid w:val="0013666A"/>
    <w:rsid w:val="001369D0"/>
    <w:rsid w:val="00136B77"/>
    <w:rsid w:val="001370FB"/>
    <w:rsid w:val="0013711B"/>
    <w:rsid w:val="001373A6"/>
    <w:rsid w:val="001373F1"/>
    <w:rsid w:val="00137536"/>
    <w:rsid w:val="0013759A"/>
    <w:rsid w:val="00137675"/>
    <w:rsid w:val="001377CD"/>
    <w:rsid w:val="00137B9F"/>
    <w:rsid w:val="00140244"/>
    <w:rsid w:val="00140327"/>
    <w:rsid w:val="0014050F"/>
    <w:rsid w:val="00140523"/>
    <w:rsid w:val="0014072B"/>
    <w:rsid w:val="00140900"/>
    <w:rsid w:val="00140937"/>
    <w:rsid w:val="0014098A"/>
    <w:rsid w:val="00140B0C"/>
    <w:rsid w:val="00140B6D"/>
    <w:rsid w:val="00140FFB"/>
    <w:rsid w:val="00141283"/>
    <w:rsid w:val="001412F5"/>
    <w:rsid w:val="001412F7"/>
    <w:rsid w:val="001414EF"/>
    <w:rsid w:val="001416CF"/>
    <w:rsid w:val="0014170A"/>
    <w:rsid w:val="00141836"/>
    <w:rsid w:val="00141A2B"/>
    <w:rsid w:val="00141CDE"/>
    <w:rsid w:val="00141DB8"/>
    <w:rsid w:val="001420D1"/>
    <w:rsid w:val="00142253"/>
    <w:rsid w:val="00142730"/>
    <w:rsid w:val="001429CE"/>
    <w:rsid w:val="00142AE7"/>
    <w:rsid w:val="00142F77"/>
    <w:rsid w:val="00143331"/>
    <w:rsid w:val="0014350A"/>
    <w:rsid w:val="0014361A"/>
    <w:rsid w:val="001436A4"/>
    <w:rsid w:val="00143742"/>
    <w:rsid w:val="00143890"/>
    <w:rsid w:val="0014397A"/>
    <w:rsid w:val="0014399F"/>
    <w:rsid w:val="00143BAB"/>
    <w:rsid w:val="00143C17"/>
    <w:rsid w:val="00143C6D"/>
    <w:rsid w:val="00143CB9"/>
    <w:rsid w:val="00143EBD"/>
    <w:rsid w:val="00143F3F"/>
    <w:rsid w:val="0014401F"/>
    <w:rsid w:val="00144293"/>
    <w:rsid w:val="001443F5"/>
    <w:rsid w:val="00144409"/>
    <w:rsid w:val="00144848"/>
    <w:rsid w:val="00144D91"/>
    <w:rsid w:val="00144EFF"/>
    <w:rsid w:val="00144F99"/>
    <w:rsid w:val="00145071"/>
    <w:rsid w:val="0014549E"/>
    <w:rsid w:val="00145519"/>
    <w:rsid w:val="001456C8"/>
    <w:rsid w:val="00145A47"/>
    <w:rsid w:val="00145C6D"/>
    <w:rsid w:val="00145C9D"/>
    <w:rsid w:val="00145E01"/>
    <w:rsid w:val="00145E95"/>
    <w:rsid w:val="00145FEF"/>
    <w:rsid w:val="001461FB"/>
    <w:rsid w:val="001464EE"/>
    <w:rsid w:val="0014658F"/>
    <w:rsid w:val="00146715"/>
    <w:rsid w:val="00146847"/>
    <w:rsid w:val="001468AF"/>
    <w:rsid w:val="00146A16"/>
    <w:rsid w:val="00146AA0"/>
    <w:rsid w:val="00146E7D"/>
    <w:rsid w:val="0014738B"/>
    <w:rsid w:val="001476A9"/>
    <w:rsid w:val="00147A0A"/>
    <w:rsid w:val="00147A10"/>
    <w:rsid w:val="00147A64"/>
    <w:rsid w:val="00147B9E"/>
    <w:rsid w:val="00147D7B"/>
    <w:rsid w:val="00150002"/>
    <w:rsid w:val="00150020"/>
    <w:rsid w:val="00150884"/>
    <w:rsid w:val="0015099E"/>
    <w:rsid w:val="00150AB2"/>
    <w:rsid w:val="00150C9C"/>
    <w:rsid w:val="00150D55"/>
    <w:rsid w:val="00150EBF"/>
    <w:rsid w:val="00151065"/>
    <w:rsid w:val="00151084"/>
    <w:rsid w:val="001514A9"/>
    <w:rsid w:val="001518A5"/>
    <w:rsid w:val="001519F4"/>
    <w:rsid w:val="00152080"/>
    <w:rsid w:val="0015212F"/>
    <w:rsid w:val="001521A7"/>
    <w:rsid w:val="001522B0"/>
    <w:rsid w:val="001522E0"/>
    <w:rsid w:val="0015231E"/>
    <w:rsid w:val="0015241D"/>
    <w:rsid w:val="00152607"/>
    <w:rsid w:val="00152664"/>
    <w:rsid w:val="00152BF3"/>
    <w:rsid w:val="00152C7A"/>
    <w:rsid w:val="00152C8C"/>
    <w:rsid w:val="00152CFB"/>
    <w:rsid w:val="00152E3F"/>
    <w:rsid w:val="00152F46"/>
    <w:rsid w:val="00152F8D"/>
    <w:rsid w:val="001532B9"/>
    <w:rsid w:val="001532EA"/>
    <w:rsid w:val="00153350"/>
    <w:rsid w:val="00153397"/>
    <w:rsid w:val="001534DF"/>
    <w:rsid w:val="0015350C"/>
    <w:rsid w:val="00153523"/>
    <w:rsid w:val="00153675"/>
    <w:rsid w:val="001539E7"/>
    <w:rsid w:val="00153B93"/>
    <w:rsid w:val="00153D13"/>
    <w:rsid w:val="00153DAD"/>
    <w:rsid w:val="00153DB4"/>
    <w:rsid w:val="00153E8C"/>
    <w:rsid w:val="00153ECF"/>
    <w:rsid w:val="001542BC"/>
    <w:rsid w:val="0015431F"/>
    <w:rsid w:val="00154481"/>
    <w:rsid w:val="001544E9"/>
    <w:rsid w:val="001545D0"/>
    <w:rsid w:val="0015481D"/>
    <w:rsid w:val="00155104"/>
    <w:rsid w:val="00155265"/>
    <w:rsid w:val="0015527D"/>
    <w:rsid w:val="001552E4"/>
    <w:rsid w:val="0015538A"/>
    <w:rsid w:val="00155700"/>
    <w:rsid w:val="00155878"/>
    <w:rsid w:val="001558E7"/>
    <w:rsid w:val="0015590E"/>
    <w:rsid w:val="00155BBC"/>
    <w:rsid w:val="00155C5F"/>
    <w:rsid w:val="00155CFA"/>
    <w:rsid w:val="00155D7F"/>
    <w:rsid w:val="00155E3D"/>
    <w:rsid w:val="00155E86"/>
    <w:rsid w:val="00155F14"/>
    <w:rsid w:val="0015606A"/>
    <w:rsid w:val="001565B9"/>
    <w:rsid w:val="001565D0"/>
    <w:rsid w:val="00156780"/>
    <w:rsid w:val="00156B07"/>
    <w:rsid w:val="00156D76"/>
    <w:rsid w:val="00156D9D"/>
    <w:rsid w:val="00156DCE"/>
    <w:rsid w:val="0015702B"/>
    <w:rsid w:val="001574CD"/>
    <w:rsid w:val="00157720"/>
    <w:rsid w:val="001577D1"/>
    <w:rsid w:val="001577E9"/>
    <w:rsid w:val="00157994"/>
    <w:rsid w:val="00157C4A"/>
    <w:rsid w:val="00157C5E"/>
    <w:rsid w:val="00157CC5"/>
    <w:rsid w:val="00157D58"/>
    <w:rsid w:val="00157E7D"/>
    <w:rsid w:val="0016007E"/>
    <w:rsid w:val="00160294"/>
    <w:rsid w:val="00160722"/>
    <w:rsid w:val="001608AE"/>
    <w:rsid w:val="00160B37"/>
    <w:rsid w:val="00160B84"/>
    <w:rsid w:val="00160E1A"/>
    <w:rsid w:val="00160EB2"/>
    <w:rsid w:val="00161103"/>
    <w:rsid w:val="001614BE"/>
    <w:rsid w:val="0016179E"/>
    <w:rsid w:val="00161836"/>
    <w:rsid w:val="001619D1"/>
    <w:rsid w:val="00161A3D"/>
    <w:rsid w:val="00161C74"/>
    <w:rsid w:val="00161E6D"/>
    <w:rsid w:val="00161FB7"/>
    <w:rsid w:val="001621E0"/>
    <w:rsid w:val="001621F7"/>
    <w:rsid w:val="00162599"/>
    <w:rsid w:val="00162615"/>
    <w:rsid w:val="0016262C"/>
    <w:rsid w:val="00162780"/>
    <w:rsid w:val="00162A0E"/>
    <w:rsid w:val="00162A63"/>
    <w:rsid w:val="00162D50"/>
    <w:rsid w:val="00163087"/>
    <w:rsid w:val="00163211"/>
    <w:rsid w:val="0016395B"/>
    <w:rsid w:val="00163C57"/>
    <w:rsid w:val="00163D60"/>
    <w:rsid w:val="00163F4C"/>
    <w:rsid w:val="00164201"/>
    <w:rsid w:val="00164498"/>
    <w:rsid w:val="00164685"/>
    <w:rsid w:val="001646A4"/>
    <w:rsid w:val="001647FC"/>
    <w:rsid w:val="001648DF"/>
    <w:rsid w:val="00164D31"/>
    <w:rsid w:val="00164D3C"/>
    <w:rsid w:val="00164DB9"/>
    <w:rsid w:val="00164F32"/>
    <w:rsid w:val="0016546A"/>
    <w:rsid w:val="00165674"/>
    <w:rsid w:val="001656D1"/>
    <w:rsid w:val="00165880"/>
    <w:rsid w:val="00165966"/>
    <w:rsid w:val="00165A08"/>
    <w:rsid w:val="00165EEC"/>
    <w:rsid w:val="00166028"/>
    <w:rsid w:val="0016642F"/>
    <w:rsid w:val="0016670A"/>
    <w:rsid w:val="00166720"/>
    <w:rsid w:val="00166A43"/>
    <w:rsid w:val="00166AF5"/>
    <w:rsid w:val="00166B40"/>
    <w:rsid w:val="00166BB3"/>
    <w:rsid w:val="00166E4E"/>
    <w:rsid w:val="00167112"/>
    <w:rsid w:val="00167849"/>
    <w:rsid w:val="00167886"/>
    <w:rsid w:val="00167894"/>
    <w:rsid w:val="00167F5D"/>
    <w:rsid w:val="001703BF"/>
    <w:rsid w:val="0017044C"/>
    <w:rsid w:val="001706F0"/>
    <w:rsid w:val="00170C3F"/>
    <w:rsid w:val="00170C8F"/>
    <w:rsid w:val="00170CCD"/>
    <w:rsid w:val="00171037"/>
    <w:rsid w:val="001711EC"/>
    <w:rsid w:val="0017121B"/>
    <w:rsid w:val="00171247"/>
    <w:rsid w:val="0017129D"/>
    <w:rsid w:val="00171611"/>
    <w:rsid w:val="001717B0"/>
    <w:rsid w:val="001717D9"/>
    <w:rsid w:val="00171854"/>
    <w:rsid w:val="00171A16"/>
    <w:rsid w:val="00171C4B"/>
    <w:rsid w:val="00171C50"/>
    <w:rsid w:val="00172051"/>
    <w:rsid w:val="001720C1"/>
    <w:rsid w:val="001720DB"/>
    <w:rsid w:val="00172290"/>
    <w:rsid w:val="00172369"/>
    <w:rsid w:val="00172515"/>
    <w:rsid w:val="00172521"/>
    <w:rsid w:val="00172565"/>
    <w:rsid w:val="0017271A"/>
    <w:rsid w:val="00172E5C"/>
    <w:rsid w:val="00172F11"/>
    <w:rsid w:val="0017323D"/>
    <w:rsid w:val="0017328A"/>
    <w:rsid w:val="001732CE"/>
    <w:rsid w:val="001733D9"/>
    <w:rsid w:val="001735A7"/>
    <w:rsid w:val="00173710"/>
    <w:rsid w:val="00173B42"/>
    <w:rsid w:val="00173B4F"/>
    <w:rsid w:val="00173D06"/>
    <w:rsid w:val="00173FE9"/>
    <w:rsid w:val="00173FF4"/>
    <w:rsid w:val="0017421A"/>
    <w:rsid w:val="001743C2"/>
    <w:rsid w:val="001743F7"/>
    <w:rsid w:val="001744A3"/>
    <w:rsid w:val="001744B2"/>
    <w:rsid w:val="00174746"/>
    <w:rsid w:val="001747C4"/>
    <w:rsid w:val="001748C3"/>
    <w:rsid w:val="0017492C"/>
    <w:rsid w:val="00174B9C"/>
    <w:rsid w:val="00174BC0"/>
    <w:rsid w:val="00174D24"/>
    <w:rsid w:val="001750DC"/>
    <w:rsid w:val="0017540D"/>
    <w:rsid w:val="0017571F"/>
    <w:rsid w:val="00175839"/>
    <w:rsid w:val="001758E9"/>
    <w:rsid w:val="001759AA"/>
    <w:rsid w:val="00175AC1"/>
    <w:rsid w:val="00175B8B"/>
    <w:rsid w:val="00175C5F"/>
    <w:rsid w:val="00175DF1"/>
    <w:rsid w:val="00175ED5"/>
    <w:rsid w:val="00175F74"/>
    <w:rsid w:val="001761F4"/>
    <w:rsid w:val="001763E1"/>
    <w:rsid w:val="0017644F"/>
    <w:rsid w:val="00176507"/>
    <w:rsid w:val="00176553"/>
    <w:rsid w:val="00176B40"/>
    <w:rsid w:val="00176B7E"/>
    <w:rsid w:val="00176BA9"/>
    <w:rsid w:val="00176C07"/>
    <w:rsid w:val="0017725B"/>
    <w:rsid w:val="0017727C"/>
    <w:rsid w:val="001773E5"/>
    <w:rsid w:val="00177643"/>
    <w:rsid w:val="00177780"/>
    <w:rsid w:val="001777DB"/>
    <w:rsid w:val="001779ED"/>
    <w:rsid w:val="00177D3C"/>
    <w:rsid w:val="00177E00"/>
    <w:rsid w:val="0018009B"/>
    <w:rsid w:val="0018024F"/>
    <w:rsid w:val="00180489"/>
    <w:rsid w:val="001807F4"/>
    <w:rsid w:val="00180AA1"/>
    <w:rsid w:val="00180BF7"/>
    <w:rsid w:val="00180C27"/>
    <w:rsid w:val="00180C51"/>
    <w:rsid w:val="00180DA3"/>
    <w:rsid w:val="00180F2F"/>
    <w:rsid w:val="00181273"/>
    <w:rsid w:val="001812C0"/>
    <w:rsid w:val="00181BF7"/>
    <w:rsid w:val="00181C2F"/>
    <w:rsid w:val="00181E09"/>
    <w:rsid w:val="00181EAF"/>
    <w:rsid w:val="00181FCD"/>
    <w:rsid w:val="00182042"/>
    <w:rsid w:val="00182163"/>
    <w:rsid w:val="00182286"/>
    <w:rsid w:val="001822DA"/>
    <w:rsid w:val="001824B0"/>
    <w:rsid w:val="0018261A"/>
    <w:rsid w:val="00182948"/>
    <w:rsid w:val="00182BD7"/>
    <w:rsid w:val="00182C26"/>
    <w:rsid w:val="00182C9A"/>
    <w:rsid w:val="00182D30"/>
    <w:rsid w:val="00182F5E"/>
    <w:rsid w:val="0018300F"/>
    <w:rsid w:val="00183023"/>
    <w:rsid w:val="001830E8"/>
    <w:rsid w:val="001832DE"/>
    <w:rsid w:val="001834D2"/>
    <w:rsid w:val="00183626"/>
    <w:rsid w:val="0018362B"/>
    <w:rsid w:val="00183B4F"/>
    <w:rsid w:val="00183B7F"/>
    <w:rsid w:val="00183B92"/>
    <w:rsid w:val="00184177"/>
    <w:rsid w:val="0018423B"/>
    <w:rsid w:val="0018431B"/>
    <w:rsid w:val="0018432D"/>
    <w:rsid w:val="001843B3"/>
    <w:rsid w:val="00184585"/>
    <w:rsid w:val="0018471E"/>
    <w:rsid w:val="00184751"/>
    <w:rsid w:val="00184B6E"/>
    <w:rsid w:val="00184BE3"/>
    <w:rsid w:val="00184CF2"/>
    <w:rsid w:val="00184D92"/>
    <w:rsid w:val="00184F91"/>
    <w:rsid w:val="00185094"/>
    <w:rsid w:val="001850EF"/>
    <w:rsid w:val="00185103"/>
    <w:rsid w:val="001851C8"/>
    <w:rsid w:val="001851FB"/>
    <w:rsid w:val="0018528C"/>
    <w:rsid w:val="00185293"/>
    <w:rsid w:val="0018530B"/>
    <w:rsid w:val="001858B3"/>
    <w:rsid w:val="00185931"/>
    <w:rsid w:val="00185B79"/>
    <w:rsid w:val="00185D11"/>
    <w:rsid w:val="00185E1E"/>
    <w:rsid w:val="00185E38"/>
    <w:rsid w:val="00185F33"/>
    <w:rsid w:val="00186246"/>
    <w:rsid w:val="0018685F"/>
    <w:rsid w:val="00186904"/>
    <w:rsid w:val="001869E5"/>
    <w:rsid w:val="00186A24"/>
    <w:rsid w:val="0018705A"/>
    <w:rsid w:val="00187153"/>
    <w:rsid w:val="001875B1"/>
    <w:rsid w:val="001878D3"/>
    <w:rsid w:val="00187C7A"/>
    <w:rsid w:val="00190055"/>
    <w:rsid w:val="0019015A"/>
    <w:rsid w:val="001903CE"/>
    <w:rsid w:val="00190702"/>
    <w:rsid w:val="00190803"/>
    <w:rsid w:val="00190870"/>
    <w:rsid w:val="001909A2"/>
    <w:rsid w:val="00190BD2"/>
    <w:rsid w:val="00191042"/>
    <w:rsid w:val="001910FC"/>
    <w:rsid w:val="00191288"/>
    <w:rsid w:val="0019136D"/>
    <w:rsid w:val="00191443"/>
    <w:rsid w:val="0019151E"/>
    <w:rsid w:val="00191630"/>
    <w:rsid w:val="001917A5"/>
    <w:rsid w:val="001919BA"/>
    <w:rsid w:val="00191CAA"/>
    <w:rsid w:val="00191D02"/>
    <w:rsid w:val="00191D1C"/>
    <w:rsid w:val="0019212C"/>
    <w:rsid w:val="0019224A"/>
    <w:rsid w:val="001923C2"/>
    <w:rsid w:val="00192536"/>
    <w:rsid w:val="00192A86"/>
    <w:rsid w:val="00192AE9"/>
    <w:rsid w:val="00192BD2"/>
    <w:rsid w:val="00192E5C"/>
    <w:rsid w:val="00193108"/>
    <w:rsid w:val="001932B0"/>
    <w:rsid w:val="0019349F"/>
    <w:rsid w:val="0019360F"/>
    <w:rsid w:val="001938AF"/>
    <w:rsid w:val="00193A1B"/>
    <w:rsid w:val="00193A93"/>
    <w:rsid w:val="00193AA5"/>
    <w:rsid w:val="00194175"/>
    <w:rsid w:val="0019449E"/>
    <w:rsid w:val="00194559"/>
    <w:rsid w:val="00194834"/>
    <w:rsid w:val="00194A0D"/>
    <w:rsid w:val="00194A3D"/>
    <w:rsid w:val="00194E68"/>
    <w:rsid w:val="00194E9D"/>
    <w:rsid w:val="001950B1"/>
    <w:rsid w:val="00195796"/>
    <w:rsid w:val="00195865"/>
    <w:rsid w:val="00195A61"/>
    <w:rsid w:val="00195B45"/>
    <w:rsid w:val="00195E07"/>
    <w:rsid w:val="00195F09"/>
    <w:rsid w:val="00195FBE"/>
    <w:rsid w:val="0019637D"/>
    <w:rsid w:val="0019699B"/>
    <w:rsid w:val="00196D4C"/>
    <w:rsid w:val="00197034"/>
    <w:rsid w:val="0019714A"/>
    <w:rsid w:val="00197431"/>
    <w:rsid w:val="00197451"/>
    <w:rsid w:val="001976DF"/>
    <w:rsid w:val="00197826"/>
    <w:rsid w:val="001978B0"/>
    <w:rsid w:val="00197D4F"/>
    <w:rsid w:val="001A033E"/>
    <w:rsid w:val="001A05C9"/>
    <w:rsid w:val="001A0676"/>
    <w:rsid w:val="001A076A"/>
    <w:rsid w:val="001A07E3"/>
    <w:rsid w:val="001A09C3"/>
    <w:rsid w:val="001A0A33"/>
    <w:rsid w:val="001A0DD4"/>
    <w:rsid w:val="001A0FBC"/>
    <w:rsid w:val="001A0FF6"/>
    <w:rsid w:val="001A1655"/>
    <w:rsid w:val="001A1695"/>
    <w:rsid w:val="001A18F8"/>
    <w:rsid w:val="001A1990"/>
    <w:rsid w:val="001A1A00"/>
    <w:rsid w:val="001A1BE0"/>
    <w:rsid w:val="001A1D00"/>
    <w:rsid w:val="001A1D60"/>
    <w:rsid w:val="001A1D8E"/>
    <w:rsid w:val="001A1ED1"/>
    <w:rsid w:val="001A2023"/>
    <w:rsid w:val="001A20A6"/>
    <w:rsid w:val="001A2180"/>
    <w:rsid w:val="001A22D3"/>
    <w:rsid w:val="001A24D8"/>
    <w:rsid w:val="001A314E"/>
    <w:rsid w:val="001A3382"/>
    <w:rsid w:val="001A351F"/>
    <w:rsid w:val="001A3521"/>
    <w:rsid w:val="001A3855"/>
    <w:rsid w:val="001A38E4"/>
    <w:rsid w:val="001A3BEC"/>
    <w:rsid w:val="001A3DFA"/>
    <w:rsid w:val="001A3E56"/>
    <w:rsid w:val="001A3EAE"/>
    <w:rsid w:val="001A4003"/>
    <w:rsid w:val="001A429C"/>
    <w:rsid w:val="001A4325"/>
    <w:rsid w:val="001A4717"/>
    <w:rsid w:val="001A4875"/>
    <w:rsid w:val="001A4A0E"/>
    <w:rsid w:val="001A4A3D"/>
    <w:rsid w:val="001A4E33"/>
    <w:rsid w:val="001A4F29"/>
    <w:rsid w:val="001A5036"/>
    <w:rsid w:val="001A5182"/>
    <w:rsid w:val="001A527D"/>
    <w:rsid w:val="001A529C"/>
    <w:rsid w:val="001A52ED"/>
    <w:rsid w:val="001A5468"/>
    <w:rsid w:val="001A5548"/>
    <w:rsid w:val="001A55B9"/>
    <w:rsid w:val="001A55D3"/>
    <w:rsid w:val="001A561D"/>
    <w:rsid w:val="001A5C58"/>
    <w:rsid w:val="001A60FC"/>
    <w:rsid w:val="001A6229"/>
    <w:rsid w:val="001A626D"/>
    <w:rsid w:val="001A6303"/>
    <w:rsid w:val="001A68D1"/>
    <w:rsid w:val="001A6A19"/>
    <w:rsid w:val="001A6DEA"/>
    <w:rsid w:val="001A701C"/>
    <w:rsid w:val="001A7214"/>
    <w:rsid w:val="001A75A6"/>
    <w:rsid w:val="001A777F"/>
    <w:rsid w:val="001A789A"/>
    <w:rsid w:val="001A7A62"/>
    <w:rsid w:val="001A7CAD"/>
    <w:rsid w:val="001B0242"/>
    <w:rsid w:val="001B024D"/>
    <w:rsid w:val="001B0260"/>
    <w:rsid w:val="001B0289"/>
    <w:rsid w:val="001B02FC"/>
    <w:rsid w:val="001B0342"/>
    <w:rsid w:val="001B0773"/>
    <w:rsid w:val="001B09F0"/>
    <w:rsid w:val="001B0C16"/>
    <w:rsid w:val="001B0D67"/>
    <w:rsid w:val="001B10AF"/>
    <w:rsid w:val="001B1438"/>
    <w:rsid w:val="001B1481"/>
    <w:rsid w:val="001B1884"/>
    <w:rsid w:val="001B1994"/>
    <w:rsid w:val="001B19C4"/>
    <w:rsid w:val="001B1B60"/>
    <w:rsid w:val="001B1DA2"/>
    <w:rsid w:val="001B1FF3"/>
    <w:rsid w:val="001B2B8B"/>
    <w:rsid w:val="001B2C32"/>
    <w:rsid w:val="001B2E7F"/>
    <w:rsid w:val="001B2EBC"/>
    <w:rsid w:val="001B30F8"/>
    <w:rsid w:val="001B3120"/>
    <w:rsid w:val="001B3199"/>
    <w:rsid w:val="001B32C0"/>
    <w:rsid w:val="001B36ED"/>
    <w:rsid w:val="001B384C"/>
    <w:rsid w:val="001B38BC"/>
    <w:rsid w:val="001B3A6F"/>
    <w:rsid w:val="001B3ABC"/>
    <w:rsid w:val="001B3D2C"/>
    <w:rsid w:val="001B3DBD"/>
    <w:rsid w:val="001B3EE1"/>
    <w:rsid w:val="001B4769"/>
    <w:rsid w:val="001B49CD"/>
    <w:rsid w:val="001B4A74"/>
    <w:rsid w:val="001B4C93"/>
    <w:rsid w:val="001B4DA0"/>
    <w:rsid w:val="001B50E4"/>
    <w:rsid w:val="001B5219"/>
    <w:rsid w:val="001B53CD"/>
    <w:rsid w:val="001B5533"/>
    <w:rsid w:val="001B5619"/>
    <w:rsid w:val="001B577D"/>
    <w:rsid w:val="001B57D4"/>
    <w:rsid w:val="001B598C"/>
    <w:rsid w:val="001B5A8E"/>
    <w:rsid w:val="001B5BF6"/>
    <w:rsid w:val="001B5D8D"/>
    <w:rsid w:val="001B60C8"/>
    <w:rsid w:val="001B60FF"/>
    <w:rsid w:val="001B614A"/>
    <w:rsid w:val="001B6170"/>
    <w:rsid w:val="001B61EC"/>
    <w:rsid w:val="001B62E3"/>
    <w:rsid w:val="001B6483"/>
    <w:rsid w:val="001B64D7"/>
    <w:rsid w:val="001B65A6"/>
    <w:rsid w:val="001B65BA"/>
    <w:rsid w:val="001B660C"/>
    <w:rsid w:val="001B67DF"/>
    <w:rsid w:val="001B68CF"/>
    <w:rsid w:val="001B6A53"/>
    <w:rsid w:val="001B6A60"/>
    <w:rsid w:val="001B6B06"/>
    <w:rsid w:val="001B6C0A"/>
    <w:rsid w:val="001B6E9D"/>
    <w:rsid w:val="001B6F12"/>
    <w:rsid w:val="001B7174"/>
    <w:rsid w:val="001B7447"/>
    <w:rsid w:val="001B745B"/>
    <w:rsid w:val="001B750D"/>
    <w:rsid w:val="001B7596"/>
    <w:rsid w:val="001B78CE"/>
    <w:rsid w:val="001B7CBD"/>
    <w:rsid w:val="001B7DCB"/>
    <w:rsid w:val="001B7EB6"/>
    <w:rsid w:val="001B7FF0"/>
    <w:rsid w:val="001C002A"/>
    <w:rsid w:val="001C04E5"/>
    <w:rsid w:val="001C050A"/>
    <w:rsid w:val="001C0558"/>
    <w:rsid w:val="001C07A7"/>
    <w:rsid w:val="001C098E"/>
    <w:rsid w:val="001C0B46"/>
    <w:rsid w:val="001C0D85"/>
    <w:rsid w:val="001C0E35"/>
    <w:rsid w:val="001C1083"/>
    <w:rsid w:val="001C1323"/>
    <w:rsid w:val="001C142F"/>
    <w:rsid w:val="001C16C1"/>
    <w:rsid w:val="001C171A"/>
    <w:rsid w:val="001C1728"/>
    <w:rsid w:val="001C1836"/>
    <w:rsid w:val="001C1893"/>
    <w:rsid w:val="001C196A"/>
    <w:rsid w:val="001C1A43"/>
    <w:rsid w:val="001C1B73"/>
    <w:rsid w:val="001C1B78"/>
    <w:rsid w:val="001C20B1"/>
    <w:rsid w:val="001C2270"/>
    <w:rsid w:val="001C25C2"/>
    <w:rsid w:val="001C25F4"/>
    <w:rsid w:val="001C261E"/>
    <w:rsid w:val="001C26BD"/>
    <w:rsid w:val="001C27E7"/>
    <w:rsid w:val="001C2BBD"/>
    <w:rsid w:val="001C2CFA"/>
    <w:rsid w:val="001C2DFC"/>
    <w:rsid w:val="001C2F28"/>
    <w:rsid w:val="001C32C1"/>
    <w:rsid w:val="001C3415"/>
    <w:rsid w:val="001C3417"/>
    <w:rsid w:val="001C35C1"/>
    <w:rsid w:val="001C374D"/>
    <w:rsid w:val="001C3817"/>
    <w:rsid w:val="001C38F7"/>
    <w:rsid w:val="001C407B"/>
    <w:rsid w:val="001C40C2"/>
    <w:rsid w:val="001C40CB"/>
    <w:rsid w:val="001C4231"/>
    <w:rsid w:val="001C4791"/>
    <w:rsid w:val="001C4804"/>
    <w:rsid w:val="001C4933"/>
    <w:rsid w:val="001C4E9C"/>
    <w:rsid w:val="001C4F72"/>
    <w:rsid w:val="001C4FCB"/>
    <w:rsid w:val="001C532A"/>
    <w:rsid w:val="001C5429"/>
    <w:rsid w:val="001C5628"/>
    <w:rsid w:val="001C58F6"/>
    <w:rsid w:val="001C5A5C"/>
    <w:rsid w:val="001C5C20"/>
    <w:rsid w:val="001C5C36"/>
    <w:rsid w:val="001C5DDE"/>
    <w:rsid w:val="001C5DE6"/>
    <w:rsid w:val="001C60E9"/>
    <w:rsid w:val="001C62C8"/>
    <w:rsid w:val="001C6534"/>
    <w:rsid w:val="001C6732"/>
    <w:rsid w:val="001C6936"/>
    <w:rsid w:val="001C69FA"/>
    <w:rsid w:val="001C6BE1"/>
    <w:rsid w:val="001C6C4B"/>
    <w:rsid w:val="001C6E71"/>
    <w:rsid w:val="001C7288"/>
    <w:rsid w:val="001C767A"/>
    <w:rsid w:val="001C7A2B"/>
    <w:rsid w:val="001C7BA0"/>
    <w:rsid w:val="001C7BF0"/>
    <w:rsid w:val="001C7C59"/>
    <w:rsid w:val="001C7DF9"/>
    <w:rsid w:val="001D0095"/>
    <w:rsid w:val="001D01F6"/>
    <w:rsid w:val="001D02C0"/>
    <w:rsid w:val="001D0530"/>
    <w:rsid w:val="001D05F7"/>
    <w:rsid w:val="001D072E"/>
    <w:rsid w:val="001D0A39"/>
    <w:rsid w:val="001D0B40"/>
    <w:rsid w:val="001D0BEA"/>
    <w:rsid w:val="001D0D52"/>
    <w:rsid w:val="001D1232"/>
    <w:rsid w:val="001D1343"/>
    <w:rsid w:val="001D1541"/>
    <w:rsid w:val="001D156B"/>
    <w:rsid w:val="001D1758"/>
    <w:rsid w:val="001D19DE"/>
    <w:rsid w:val="001D1C78"/>
    <w:rsid w:val="001D1D26"/>
    <w:rsid w:val="001D279D"/>
    <w:rsid w:val="001D297C"/>
    <w:rsid w:val="001D2AA0"/>
    <w:rsid w:val="001D2AB7"/>
    <w:rsid w:val="001D2D4E"/>
    <w:rsid w:val="001D2FB8"/>
    <w:rsid w:val="001D314F"/>
    <w:rsid w:val="001D3422"/>
    <w:rsid w:val="001D350E"/>
    <w:rsid w:val="001D3608"/>
    <w:rsid w:val="001D372C"/>
    <w:rsid w:val="001D3D3F"/>
    <w:rsid w:val="001D3D6F"/>
    <w:rsid w:val="001D3DAE"/>
    <w:rsid w:val="001D3FD6"/>
    <w:rsid w:val="001D4416"/>
    <w:rsid w:val="001D45FF"/>
    <w:rsid w:val="001D46C3"/>
    <w:rsid w:val="001D4782"/>
    <w:rsid w:val="001D48B6"/>
    <w:rsid w:val="001D4931"/>
    <w:rsid w:val="001D4A0C"/>
    <w:rsid w:val="001D4BCE"/>
    <w:rsid w:val="001D4BF7"/>
    <w:rsid w:val="001D4D1A"/>
    <w:rsid w:val="001D4D80"/>
    <w:rsid w:val="001D4EBD"/>
    <w:rsid w:val="001D51E6"/>
    <w:rsid w:val="001D53EC"/>
    <w:rsid w:val="001D5535"/>
    <w:rsid w:val="001D55B8"/>
    <w:rsid w:val="001D5972"/>
    <w:rsid w:val="001D5A81"/>
    <w:rsid w:val="001D5AEE"/>
    <w:rsid w:val="001D5C40"/>
    <w:rsid w:val="001D5D51"/>
    <w:rsid w:val="001D5E6A"/>
    <w:rsid w:val="001D6063"/>
    <w:rsid w:val="001D613A"/>
    <w:rsid w:val="001D6275"/>
    <w:rsid w:val="001D62E2"/>
    <w:rsid w:val="001D6465"/>
    <w:rsid w:val="001D6494"/>
    <w:rsid w:val="001D64C8"/>
    <w:rsid w:val="001D6596"/>
    <w:rsid w:val="001D660F"/>
    <w:rsid w:val="001D66F0"/>
    <w:rsid w:val="001D6807"/>
    <w:rsid w:val="001D680A"/>
    <w:rsid w:val="001D6AB7"/>
    <w:rsid w:val="001D6B2D"/>
    <w:rsid w:val="001D6DB6"/>
    <w:rsid w:val="001D6F5B"/>
    <w:rsid w:val="001D70AC"/>
    <w:rsid w:val="001D7133"/>
    <w:rsid w:val="001D7438"/>
    <w:rsid w:val="001D7643"/>
    <w:rsid w:val="001D768A"/>
    <w:rsid w:val="001D7871"/>
    <w:rsid w:val="001D7D0B"/>
    <w:rsid w:val="001D7D88"/>
    <w:rsid w:val="001D7E36"/>
    <w:rsid w:val="001D7F39"/>
    <w:rsid w:val="001E018A"/>
    <w:rsid w:val="001E030D"/>
    <w:rsid w:val="001E0397"/>
    <w:rsid w:val="001E04BD"/>
    <w:rsid w:val="001E085B"/>
    <w:rsid w:val="001E087A"/>
    <w:rsid w:val="001E0929"/>
    <w:rsid w:val="001E0BF1"/>
    <w:rsid w:val="001E0F94"/>
    <w:rsid w:val="001E0FE6"/>
    <w:rsid w:val="001E1002"/>
    <w:rsid w:val="001E126D"/>
    <w:rsid w:val="001E1322"/>
    <w:rsid w:val="001E1395"/>
    <w:rsid w:val="001E13B9"/>
    <w:rsid w:val="001E1B08"/>
    <w:rsid w:val="001E1C8F"/>
    <w:rsid w:val="001E1DAA"/>
    <w:rsid w:val="001E20FA"/>
    <w:rsid w:val="001E2467"/>
    <w:rsid w:val="001E2770"/>
    <w:rsid w:val="001E28D0"/>
    <w:rsid w:val="001E2ACA"/>
    <w:rsid w:val="001E2EE6"/>
    <w:rsid w:val="001E2FB7"/>
    <w:rsid w:val="001E30CB"/>
    <w:rsid w:val="001E3303"/>
    <w:rsid w:val="001E3429"/>
    <w:rsid w:val="001E35E3"/>
    <w:rsid w:val="001E3622"/>
    <w:rsid w:val="001E3B69"/>
    <w:rsid w:val="001E3DBC"/>
    <w:rsid w:val="001E3EAF"/>
    <w:rsid w:val="001E414E"/>
    <w:rsid w:val="001E43D6"/>
    <w:rsid w:val="001E443C"/>
    <w:rsid w:val="001E4578"/>
    <w:rsid w:val="001E4774"/>
    <w:rsid w:val="001E47FF"/>
    <w:rsid w:val="001E4991"/>
    <w:rsid w:val="001E49B2"/>
    <w:rsid w:val="001E49F4"/>
    <w:rsid w:val="001E4A62"/>
    <w:rsid w:val="001E4AF9"/>
    <w:rsid w:val="001E4CAB"/>
    <w:rsid w:val="001E50CB"/>
    <w:rsid w:val="001E53B5"/>
    <w:rsid w:val="001E5A80"/>
    <w:rsid w:val="001E5BE7"/>
    <w:rsid w:val="001E5C77"/>
    <w:rsid w:val="001E5EB1"/>
    <w:rsid w:val="001E6004"/>
    <w:rsid w:val="001E60D5"/>
    <w:rsid w:val="001E66EB"/>
    <w:rsid w:val="001E6A13"/>
    <w:rsid w:val="001E71AC"/>
    <w:rsid w:val="001E75EE"/>
    <w:rsid w:val="001E79FB"/>
    <w:rsid w:val="001E7F70"/>
    <w:rsid w:val="001F00CA"/>
    <w:rsid w:val="001F0134"/>
    <w:rsid w:val="001F02CA"/>
    <w:rsid w:val="001F0388"/>
    <w:rsid w:val="001F06B4"/>
    <w:rsid w:val="001F08B4"/>
    <w:rsid w:val="001F0CF5"/>
    <w:rsid w:val="001F1226"/>
    <w:rsid w:val="001F132E"/>
    <w:rsid w:val="001F13CC"/>
    <w:rsid w:val="001F15E5"/>
    <w:rsid w:val="001F19A0"/>
    <w:rsid w:val="001F1B35"/>
    <w:rsid w:val="001F1BAC"/>
    <w:rsid w:val="001F1C04"/>
    <w:rsid w:val="001F1DBC"/>
    <w:rsid w:val="001F2100"/>
    <w:rsid w:val="001F2326"/>
    <w:rsid w:val="001F23E4"/>
    <w:rsid w:val="001F254B"/>
    <w:rsid w:val="001F25B4"/>
    <w:rsid w:val="001F2738"/>
    <w:rsid w:val="001F2E82"/>
    <w:rsid w:val="001F347D"/>
    <w:rsid w:val="001F38A1"/>
    <w:rsid w:val="001F3B1F"/>
    <w:rsid w:val="001F3BCC"/>
    <w:rsid w:val="001F3C10"/>
    <w:rsid w:val="001F3C1B"/>
    <w:rsid w:val="001F3D4E"/>
    <w:rsid w:val="001F3E02"/>
    <w:rsid w:val="001F3F79"/>
    <w:rsid w:val="001F439B"/>
    <w:rsid w:val="001F46F8"/>
    <w:rsid w:val="001F4931"/>
    <w:rsid w:val="001F4FAD"/>
    <w:rsid w:val="001F520A"/>
    <w:rsid w:val="001F54D1"/>
    <w:rsid w:val="001F591A"/>
    <w:rsid w:val="001F594D"/>
    <w:rsid w:val="001F595A"/>
    <w:rsid w:val="001F5A93"/>
    <w:rsid w:val="001F5D68"/>
    <w:rsid w:val="001F5DD0"/>
    <w:rsid w:val="001F62FD"/>
    <w:rsid w:val="001F64B4"/>
    <w:rsid w:val="001F6735"/>
    <w:rsid w:val="001F6788"/>
    <w:rsid w:val="001F6931"/>
    <w:rsid w:val="001F6B91"/>
    <w:rsid w:val="001F6D36"/>
    <w:rsid w:val="001F6DA5"/>
    <w:rsid w:val="001F6E2D"/>
    <w:rsid w:val="001F6E30"/>
    <w:rsid w:val="001F6F1D"/>
    <w:rsid w:val="001F6F5A"/>
    <w:rsid w:val="001F6FEA"/>
    <w:rsid w:val="001F717E"/>
    <w:rsid w:val="001F74EA"/>
    <w:rsid w:val="001F75A1"/>
    <w:rsid w:val="001F7600"/>
    <w:rsid w:val="001F7604"/>
    <w:rsid w:val="001F762E"/>
    <w:rsid w:val="001F794E"/>
    <w:rsid w:val="001F7C2F"/>
    <w:rsid w:val="001F7DB3"/>
    <w:rsid w:val="001F7F48"/>
    <w:rsid w:val="001F7FED"/>
    <w:rsid w:val="0020004E"/>
    <w:rsid w:val="0020028C"/>
    <w:rsid w:val="00200297"/>
    <w:rsid w:val="0020047F"/>
    <w:rsid w:val="00200585"/>
    <w:rsid w:val="00200602"/>
    <w:rsid w:val="00200B1F"/>
    <w:rsid w:val="00200F26"/>
    <w:rsid w:val="00201022"/>
    <w:rsid w:val="002013AA"/>
    <w:rsid w:val="002014AB"/>
    <w:rsid w:val="00201612"/>
    <w:rsid w:val="00201674"/>
    <w:rsid w:val="002017EA"/>
    <w:rsid w:val="0020186C"/>
    <w:rsid w:val="002018FD"/>
    <w:rsid w:val="00201913"/>
    <w:rsid w:val="00201931"/>
    <w:rsid w:val="00201995"/>
    <w:rsid w:val="002019DB"/>
    <w:rsid w:val="00201B34"/>
    <w:rsid w:val="00201C81"/>
    <w:rsid w:val="00201C88"/>
    <w:rsid w:val="00201C94"/>
    <w:rsid w:val="00201CDA"/>
    <w:rsid w:val="00201FF4"/>
    <w:rsid w:val="002021DD"/>
    <w:rsid w:val="0020222B"/>
    <w:rsid w:val="00202257"/>
    <w:rsid w:val="00202320"/>
    <w:rsid w:val="002023F5"/>
    <w:rsid w:val="00202469"/>
    <w:rsid w:val="002027C0"/>
    <w:rsid w:val="002027EC"/>
    <w:rsid w:val="0020280E"/>
    <w:rsid w:val="0020295F"/>
    <w:rsid w:val="00202DF2"/>
    <w:rsid w:val="00202F0A"/>
    <w:rsid w:val="0020339E"/>
    <w:rsid w:val="002033F1"/>
    <w:rsid w:val="0020379D"/>
    <w:rsid w:val="002037AB"/>
    <w:rsid w:val="002039F3"/>
    <w:rsid w:val="00203C3B"/>
    <w:rsid w:val="00204085"/>
    <w:rsid w:val="00204322"/>
    <w:rsid w:val="00204773"/>
    <w:rsid w:val="002048FA"/>
    <w:rsid w:val="002049EF"/>
    <w:rsid w:val="00204C25"/>
    <w:rsid w:val="00204CCE"/>
    <w:rsid w:val="00204DAB"/>
    <w:rsid w:val="00204E9C"/>
    <w:rsid w:val="00204EBB"/>
    <w:rsid w:val="00204F04"/>
    <w:rsid w:val="002052A7"/>
    <w:rsid w:val="00205449"/>
    <w:rsid w:val="00205756"/>
    <w:rsid w:val="00205AD5"/>
    <w:rsid w:val="00205D30"/>
    <w:rsid w:val="00205F26"/>
    <w:rsid w:val="00205F55"/>
    <w:rsid w:val="00205F5C"/>
    <w:rsid w:val="00205FB8"/>
    <w:rsid w:val="0020605A"/>
    <w:rsid w:val="002060B2"/>
    <w:rsid w:val="00206180"/>
    <w:rsid w:val="002061D7"/>
    <w:rsid w:val="002062C5"/>
    <w:rsid w:val="002064C6"/>
    <w:rsid w:val="00206552"/>
    <w:rsid w:val="00206561"/>
    <w:rsid w:val="002066A1"/>
    <w:rsid w:val="002068B6"/>
    <w:rsid w:val="002069B2"/>
    <w:rsid w:val="00206A26"/>
    <w:rsid w:val="00206BFE"/>
    <w:rsid w:val="00206C3A"/>
    <w:rsid w:val="0020702E"/>
    <w:rsid w:val="0020759D"/>
    <w:rsid w:val="00207873"/>
    <w:rsid w:val="0020794D"/>
    <w:rsid w:val="00207ABE"/>
    <w:rsid w:val="00207C72"/>
    <w:rsid w:val="00207CD5"/>
    <w:rsid w:val="00210032"/>
    <w:rsid w:val="0021038B"/>
    <w:rsid w:val="0021041A"/>
    <w:rsid w:val="00210502"/>
    <w:rsid w:val="0021097A"/>
    <w:rsid w:val="00210BA4"/>
    <w:rsid w:val="00210C8B"/>
    <w:rsid w:val="00210F0F"/>
    <w:rsid w:val="00211009"/>
    <w:rsid w:val="0021114D"/>
    <w:rsid w:val="0021115E"/>
    <w:rsid w:val="00211811"/>
    <w:rsid w:val="00211A1E"/>
    <w:rsid w:val="00211A75"/>
    <w:rsid w:val="00211B4F"/>
    <w:rsid w:val="00211BBD"/>
    <w:rsid w:val="00211CD2"/>
    <w:rsid w:val="00211D08"/>
    <w:rsid w:val="00211FC7"/>
    <w:rsid w:val="00212164"/>
    <w:rsid w:val="002121ED"/>
    <w:rsid w:val="00212332"/>
    <w:rsid w:val="00212527"/>
    <w:rsid w:val="002126A7"/>
    <w:rsid w:val="00212875"/>
    <w:rsid w:val="00212944"/>
    <w:rsid w:val="002129E1"/>
    <w:rsid w:val="002130D2"/>
    <w:rsid w:val="0021316B"/>
    <w:rsid w:val="0021318C"/>
    <w:rsid w:val="0021319C"/>
    <w:rsid w:val="002131AE"/>
    <w:rsid w:val="0021339A"/>
    <w:rsid w:val="00213421"/>
    <w:rsid w:val="002135EC"/>
    <w:rsid w:val="0021378B"/>
    <w:rsid w:val="00213BEC"/>
    <w:rsid w:val="00213DFF"/>
    <w:rsid w:val="002140E3"/>
    <w:rsid w:val="00214156"/>
    <w:rsid w:val="002143A5"/>
    <w:rsid w:val="002144AC"/>
    <w:rsid w:val="002144AF"/>
    <w:rsid w:val="002144E9"/>
    <w:rsid w:val="00214626"/>
    <w:rsid w:val="002149E8"/>
    <w:rsid w:val="002149F8"/>
    <w:rsid w:val="00214C58"/>
    <w:rsid w:val="00214F2B"/>
    <w:rsid w:val="00215123"/>
    <w:rsid w:val="00215171"/>
    <w:rsid w:val="0021521C"/>
    <w:rsid w:val="002154F8"/>
    <w:rsid w:val="002154FF"/>
    <w:rsid w:val="002155CE"/>
    <w:rsid w:val="00215AB1"/>
    <w:rsid w:val="00215BD0"/>
    <w:rsid w:val="00215C79"/>
    <w:rsid w:val="002161C7"/>
    <w:rsid w:val="002161E1"/>
    <w:rsid w:val="00216494"/>
    <w:rsid w:val="002165CE"/>
    <w:rsid w:val="0021660B"/>
    <w:rsid w:val="00216B1F"/>
    <w:rsid w:val="00216EB9"/>
    <w:rsid w:val="0021748B"/>
    <w:rsid w:val="002175CA"/>
    <w:rsid w:val="00217606"/>
    <w:rsid w:val="00217615"/>
    <w:rsid w:val="002178B1"/>
    <w:rsid w:val="00217929"/>
    <w:rsid w:val="002179DF"/>
    <w:rsid w:val="00217A1F"/>
    <w:rsid w:val="00217C20"/>
    <w:rsid w:val="00217C87"/>
    <w:rsid w:val="002201E4"/>
    <w:rsid w:val="00220299"/>
    <w:rsid w:val="0022030C"/>
    <w:rsid w:val="0022044D"/>
    <w:rsid w:val="00220461"/>
    <w:rsid w:val="0022065A"/>
    <w:rsid w:val="002206B2"/>
    <w:rsid w:val="00220728"/>
    <w:rsid w:val="00220773"/>
    <w:rsid w:val="002209DE"/>
    <w:rsid w:val="00220AE5"/>
    <w:rsid w:val="00220B0C"/>
    <w:rsid w:val="00220BB0"/>
    <w:rsid w:val="00221093"/>
    <w:rsid w:val="0022115B"/>
    <w:rsid w:val="002211F1"/>
    <w:rsid w:val="0022145B"/>
    <w:rsid w:val="0022186B"/>
    <w:rsid w:val="00221957"/>
    <w:rsid w:val="00221C16"/>
    <w:rsid w:val="00221C8C"/>
    <w:rsid w:val="002221B9"/>
    <w:rsid w:val="002221E2"/>
    <w:rsid w:val="002223C2"/>
    <w:rsid w:val="002224CB"/>
    <w:rsid w:val="00222529"/>
    <w:rsid w:val="00222561"/>
    <w:rsid w:val="00222724"/>
    <w:rsid w:val="00222987"/>
    <w:rsid w:val="00222A73"/>
    <w:rsid w:val="0022309E"/>
    <w:rsid w:val="00223180"/>
    <w:rsid w:val="002231D8"/>
    <w:rsid w:val="00223512"/>
    <w:rsid w:val="00223AD8"/>
    <w:rsid w:val="00223B34"/>
    <w:rsid w:val="00223CE8"/>
    <w:rsid w:val="00223E13"/>
    <w:rsid w:val="00223E4C"/>
    <w:rsid w:val="00223ECF"/>
    <w:rsid w:val="00223F0B"/>
    <w:rsid w:val="00224335"/>
    <w:rsid w:val="00224634"/>
    <w:rsid w:val="002246E5"/>
    <w:rsid w:val="0022470E"/>
    <w:rsid w:val="00224C08"/>
    <w:rsid w:val="00224C90"/>
    <w:rsid w:val="00224EC0"/>
    <w:rsid w:val="002251BA"/>
    <w:rsid w:val="002251F1"/>
    <w:rsid w:val="00225388"/>
    <w:rsid w:val="002253C9"/>
    <w:rsid w:val="002256A0"/>
    <w:rsid w:val="00225872"/>
    <w:rsid w:val="00225902"/>
    <w:rsid w:val="00225A47"/>
    <w:rsid w:val="00225B62"/>
    <w:rsid w:val="00225E02"/>
    <w:rsid w:val="00225E06"/>
    <w:rsid w:val="00225E5E"/>
    <w:rsid w:val="00225F7F"/>
    <w:rsid w:val="0022604C"/>
    <w:rsid w:val="0022613A"/>
    <w:rsid w:val="00226385"/>
    <w:rsid w:val="002267AE"/>
    <w:rsid w:val="0022682F"/>
    <w:rsid w:val="00226859"/>
    <w:rsid w:val="00226D3A"/>
    <w:rsid w:val="00226FEF"/>
    <w:rsid w:val="0022706C"/>
    <w:rsid w:val="00227410"/>
    <w:rsid w:val="00227651"/>
    <w:rsid w:val="0022785C"/>
    <w:rsid w:val="00227AD3"/>
    <w:rsid w:val="00227DE6"/>
    <w:rsid w:val="00227EFC"/>
    <w:rsid w:val="002301DF"/>
    <w:rsid w:val="002305F8"/>
    <w:rsid w:val="0023066F"/>
    <w:rsid w:val="00230980"/>
    <w:rsid w:val="00230B04"/>
    <w:rsid w:val="00230C97"/>
    <w:rsid w:val="00230F30"/>
    <w:rsid w:val="00231136"/>
    <w:rsid w:val="002314C6"/>
    <w:rsid w:val="002314C8"/>
    <w:rsid w:val="0023171E"/>
    <w:rsid w:val="00231750"/>
    <w:rsid w:val="00231A8E"/>
    <w:rsid w:val="00231D44"/>
    <w:rsid w:val="00231E16"/>
    <w:rsid w:val="00232769"/>
    <w:rsid w:val="002329E3"/>
    <w:rsid w:val="00232AEA"/>
    <w:rsid w:val="00232B9B"/>
    <w:rsid w:val="00232FF0"/>
    <w:rsid w:val="0023306B"/>
    <w:rsid w:val="00233099"/>
    <w:rsid w:val="002331FD"/>
    <w:rsid w:val="0023326E"/>
    <w:rsid w:val="0023341C"/>
    <w:rsid w:val="00233468"/>
    <w:rsid w:val="002338EF"/>
    <w:rsid w:val="002339F2"/>
    <w:rsid w:val="00233A06"/>
    <w:rsid w:val="00233D29"/>
    <w:rsid w:val="002340C6"/>
    <w:rsid w:val="00234457"/>
    <w:rsid w:val="00234803"/>
    <w:rsid w:val="00234A43"/>
    <w:rsid w:val="00234CEF"/>
    <w:rsid w:val="00234E22"/>
    <w:rsid w:val="00234E2F"/>
    <w:rsid w:val="002352CB"/>
    <w:rsid w:val="00235470"/>
    <w:rsid w:val="002354A2"/>
    <w:rsid w:val="00235755"/>
    <w:rsid w:val="00235D0E"/>
    <w:rsid w:val="00235D9F"/>
    <w:rsid w:val="00235F26"/>
    <w:rsid w:val="002362EC"/>
    <w:rsid w:val="00236538"/>
    <w:rsid w:val="00236595"/>
    <w:rsid w:val="002369EA"/>
    <w:rsid w:val="00236C86"/>
    <w:rsid w:val="00236E43"/>
    <w:rsid w:val="0023706B"/>
    <w:rsid w:val="002370C4"/>
    <w:rsid w:val="00237126"/>
    <w:rsid w:val="00237475"/>
    <w:rsid w:val="002374B9"/>
    <w:rsid w:val="002374D7"/>
    <w:rsid w:val="00237A37"/>
    <w:rsid w:val="00237E21"/>
    <w:rsid w:val="0024011E"/>
    <w:rsid w:val="002401E5"/>
    <w:rsid w:val="0024039E"/>
    <w:rsid w:val="002405D1"/>
    <w:rsid w:val="002406CF"/>
    <w:rsid w:val="00240877"/>
    <w:rsid w:val="00240A73"/>
    <w:rsid w:val="00240AAE"/>
    <w:rsid w:val="00240C82"/>
    <w:rsid w:val="0024122B"/>
    <w:rsid w:val="002412B3"/>
    <w:rsid w:val="00241366"/>
    <w:rsid w:val="002414D7"/>
    <w:rsid w:val="00241693"/>
    <w:rsid w:val="00241741"/>
    <w:rsid w:val="0024177E"/>
    <w:rsid w:val="00241920"/>
    <w:rsid w:val="002419BD"/>
    <w:rsid w:val="00241B16"/>
    <w:rsid w:val="002421E3"/>
    <w:rsid w:val="00242272"/>
    <w:rsid w:val="00242346"/>
    <w:rsid w:val="002424AE"/>
    <w:rsid w:val="00242530"/>
    <w:rsid w:val="00242899"/>
    <w:rsid w:val="00242955"/>
    <w:rsid w:val="00242A4C"/>
    <w:rsid w:val="00242A6C"/>
    <w:rsid w:val="00242BC4"/>
    <w:rsid w:val="00242BFF"/>
    <w:rsid w:val="00242DFD"/>
    <w:rsid w:val="002432DD"/>
    <w:rsid w:val="002432EE"/>
    <w:rsid w:val="002433DB"/>
    <w:rsid w:val="002437D5"/>
    <w:rsid w:val="00243CFF"/>
    <w:rsid w:val="00243D23"/>
    <w:rsid w:val="00243DE5"/>
    <w:rsid w:val="00244211"/>
    <w:rsid w:val="0024423D"/>
    <w:rsid w:val="00244257"/>
    <w:rsid w:val="002442D9"/>
    <w:rsid w:val="0024445F"/>
    <w:rsid w:val="002445B9"/>
    <w:rsid w:val="002445C0"/>
    <w:rsid w:val="002448FB"/>
    <w:rsid w:val="00244A21"/>
    <w:rsid w:val="00244A46"/>
    <w:rsid w:val="00244F61"/>
    <w:rsid w:val="00245054"/>
    <w:rsid w:val="0024516E"/>
    <w:rsid w:val="00245400"/>
    <w:rsid w:val="00245464"/>
    <w:rsid w:val="002456A5"/>
    <w:rsid w:val="002456C9"/>
    <w:rsid w:val="00245787"/>
    <w:rsid w:val="00245816"/>
    <w:rsid w:val="00245A1C"/>
    <w:rsid w:val="00245A47"/>
    <w:rsid w:val="00245B56"/>
    <w:rsid w:val="00245C32"/>
    <w:rsid w:val="00245D74"/>
    <w:rsid w:val="00245FCA"/>
    <w:rsid w:val="0024618B"/>
    <w:rsid w:val="002468EB"/>
    <w:rsid w:val="00246B03"/>
    <w:rsid w:val="00246E9A"/>
    <w:rsid w:val="00246FF7"/>
    <w:rsid w:val="002471B6"/>
    <w:rsid w:val="0024728C"/>
    <w:rsid w:val="00247440"/>
    <w:rsid w:val="00247469"/>
    <w:rsid w:val="00247541"/>
    <w:rsid w:val="0024755F"/>
    <w:rsid w:val="00247640"/>
    <w:rsid w:val="002476B7"/>
    <w:rsid w:val="0024777D"/>
    <w:rsid w:val="00247875"/>
    <w:rsid w:val="00247A5A"/>
    <w:rsid w:val="00247BDB"/>
    <w:rsid w:val="00247BFA"/>
    <w:rsid w:val="00247C2C"/>
    <w:rsid w:val="00247CC2"/>
    <w:rsid w:val="0025032D"/>
    <w:rsid w:val="00250568"/>
    <w:rsid w:val="002505EA"/>
    <w:rsid w:val="00250735"/>
    <w:rsid w:val="00250937"/>
    <w:rsid w:val="00250A3F"/>
    <w:rsid w:val="00250C9F"/>
    <w:rsid w:val="00250E1D"/>
    <w:rsid w:val="00250F51"/>
    <w:rsid w:val="00250FB2"/>
    <w:rsid w:val="0025109D"/>
    <w:rsid w:val="00251134"/>
    <w:rsid w:val="002512C6"/>
    <w:rsid w:val="00251429"/>
    <w:rsid w:val="002515A6"/>
    <w:rsid w:val="002517D2"/>
    <w:rsid w:val="00251876"/>
    <w:rsid w:val="00251D0A"/>
    <w:rsid w:val="00251DDC"/>
    <w:rsid w:val="00251EA4"/>
    <w:rsid w:val="00251EF8"/>
    <w:rsid w:val="00251F97"/>
    <w:rsid w:val="002522EE"/>
    <w:rsid w:val="00252413"/>
    <w:rsid w:val="0025266A"/>
    <w:rsid w:val="00252DC7"/>
    <w:rsid w:val="00252DE1"/>
    <w:rsid w:val="00253020"/>
    <w:rsid w:val="002530A7"/>
    <w:rsid w:val="002537F6"/>
    <w:rsid w:val="002538B1"/>
    <w:rsid w:val="00253E64"/>
    <w:rsid w:val="00253E7A"/>
    <w:rsid w:val="00253E7B"/>
    <w:rsid w:val="00253E90"/>
    <w:rsid w:val="0025441B"/>
    <w:rsid w:val="00254617"/>
    <w:rsid w:val="002547C9"/>
    <w:rsid w:val="00254823"/>
    <w:rsid w:val="0025488E"/>
    <w:rsid w:val="00254A0F"/>
    <w:rsid w:val="00254A5F"/>
    <w:rsid w:val="00254D0B"/>
    <w:rsid w:val="00254DF0"/>
    <w:rsid w:val="00254E8F"/>
    <w:rsid w:val="002552CE"/>
    <w:rsid w:val="00255A2D"/>
    <w:rsid w:val="002560E8"/>
    <w:rsid w:val="0025643B"/>
    <w:rsid w:val="00256448"/>
    <w:rsid w:val="002565DA"/>
    <w:rsid w:val="002567F2"/>
    <w:rsid w:val="002569B1"/>
    <w:rsid w:val="00256A7A"/>
    <w:rsid w:val="00256D1F"/>
    <w:rsid w:val="00256D74"/>
    <w:rsid w:val="00256F60"/>
    <w:rsid w:val="0025713E"/>
    <w:rsid w:val="00257369"/>
    <w:rsid w:val="00257722"/>
    <w:rsid w:val="00257750"/>
    <w:rsid w:val="0025780C"/>
    <w:rsid w:val="00257836"/>
    <w:rsid w:val="0025796D"/>
    <w:rsid w:val="00257FE8"/>
    <w:rsid w:val="00260039"/>
    <w:rsid w:val="002601EB"/>
    <w:rsid w:val="002604D0"/>
    <w:rsid w:val="0026075D"/>
    <w:rsid w:val="00260884"/>
    <w:rsid w:val="00260CCD"/>
    <w:rsid w:val="00260D7F"/>
    <w:rsid w:val="00260DFA"/>
    <w:rsid w:val="00260EEC"/>
    <w:rsid w:val="00261210"/>
    <w:rsid w:val="002614D3"/>
    <w:rsid w:val="002615CC"/>
    <w:rsid w:val="00261836"/>
    <w:rsid w:val="0026197A"/>
    <w:rsid w:val="00261B26"/>
    <w:rsid w:val="00261D49"/>
    <w:rsid w:val="002624C2"/>
    <w:rsid w:val="002624D7"/>
    <w:rsid w:val="00262556"/>
    <w:rsid w:val="002626CD"/>
    <w:rsid w:val="00262709"/>
    <w:rsid w:val="00262949"/>
    <w:rsid w:val="00262A16"/>
    <w:rsid w:val="00262BC0"/>
    <w:rsid w:val="00262CEC"/>
    <w:rsid w:val="00262E73"/>
    <w:rsid w:val="00263294"/>
    <w:rsid w:val="00263625"/>
    <w:rsid w:val="0026371F"/>
    <w:rsid w:val="002638EA"/>
    <w:rsid w:val="0026392C"/>
    <w:rsid w:val="00263968"/>
    <w:rsid w:val="00263AD5"/>
    <w:rsid w:val="00263C92"/>
    <w:rsid w:val="00263CAF"/>
    <w:rsid w:val="002641BF"/>
    <w:rsid w:val="002643FA"/>
    <w:rsid w:val="002646A3"/>
    <w:rsid w:val="002646BE"/>
    <w:rsid w:val="00264759"/>
    <w:rsid w:val="00264AE5"/>
    <w:rsid w:val="00264CCE"/>
    <w:rsid w:val="00264F09"/>
    <w:rsid w:val="00265150"/>
    <w:rsid w:val="002655A7"/>
    <w:rsid w:val="002655BB"/>
    <w:rsid w:val="00265B2B"/>
    <w:rsid w:val="00265B5F"/>
    <w:rsid w:val="00265D7D"/>
    <w:rsid w:val="00266085"/>
    <w:rsid w:val="0026651C"/>
    <w:rsid w:val="00266566"/>
    <w:rsid w:val="002665DF"/>
    <w:rsid w:val="00266877"/>
    <w:rsid w:val="002668BD"/>
    <w:rsid w:val="0026692B"/>
    <w:rsid w:val="00266CB2"/>
    <w:rsid w:val="00266DCD"/>
    <w:rsid w:val="00266F4A"/>
    <w:rsid w:val="0026702E"/>
    <w:rsid w:val="002670FF"/>
    <w:rsid w:val="002671F7"/>
    <w:rsid w:val="002675C0"/>
    <w:rsid w:val="00267614"/>
    <w:rsid w:val="002676FE"/>
    <w:rsid w:val="00267735"/>
    <w:rsid w:val="00267AA7"/>
    <w:rsid w:val="00267ACF"/>
    <w:rsid w:val="00267B14"/>
    <w:rsid w:val="00267D9C"/>
    <w:rsid w:val="00267E9E"/>
    <w:rsid w:val="00267F6E"/>
    <w:rsid w:val="00270056"/>
    <w:rsid w:val="0027006F"/>
    <w:rsid w:val="002708F7"/>
    <w:rsid w:val="002709EC"/>
    <w:rsid w:val="00271118"/>
    <w:rsid w:val="00271216"/>
    <w:rsid w:val="002712D1"/>
    <w:rsid w:val="0027139E"/>
    <w:rsid w:val="002713A0"/>
    <w:rsid w:val="002713A2"/>
    <w:rsid w:val="0027142F"/>
    <w:rsid w:val="00271839"/>
    <w:rsid w:val="00271864"/>
    <w:rsid w:val="00271AB6"/>
    <w:rsid w:val="00271D44"/>
    <w:rsid w:val="00271F34"/>
    <w:rsid w:val="002721D3"/>
    <w:rsid w:val="00272220"/>
    <w:rsid w:val="002723CA"/>
    <w:rsid w:val="0027260B"/>
    <w:rsid w:val="002727D3"/>
    <w:rsid w:val="00272825"/>
    <w:rsid w:val="00272BCB"/>
    <w:rsid w:val="00272C1B"/>
    <w:rsid w:val="00272DF1"/>
    <w:rsid w:val="00273106"/>
    <w:rsid w:val="00273275"/>
    <w:rsid w:val="002732B8"/>
    <w:rsid w:val="0027338C"/>
    <w:rsid w:val="0027339B"/>
    <w:rsid w:val="00273457"/>
    <w:rsid w:val="002735A2"/>
    <w:rsid w:val="00273F84"/>
    <w:rsid w:val="0027404F"/>
    <w:rsid w:val="0027422A"/>
    <w:rsid w:val="002743B6"/>
    <w:rsid w:val="002744A4"/>
    <w:rsid w:val="0027452A"/>
    <w:rsid w:val="00274565"/>
    <w:rsid w:val="002747CC"/>
    <w:rsid w:val="00274BF3"/>
    <w:rsid w:val="00274D13"/>
    <w:rsid w:val="00274E50"/>
    <w:rsid w:val="00274EE6"/>
    <w:rsid w:val="002753A9"/>
    <w:rsid w:val="002756AB"/>
    <w:rsid w:val="002756FB"/>
    <w:rsid w:val="00275750"/>
    <w:rsid w:val="00275776"/>
    <w:rsid w:val="0027585E"/>
    <w:rsid w:val="00275AAE"/>
    <w:rsid w:val="00275AE9"/>
    <w:rsid w:val="00275CE7"/>
    <w:rsid w:val="00275E33"/>
    <w:rsid w:val="00275EBA"/>
    <w:rsid w:val="00275EDB"/>
    <w:rsid w:val="00275EE0"/>
    <w:rsid w:val="0027604C"/>
    <w:rsid w:val="0027638A"/>
    <w:rsid w:val="002765CD"/>
    <w:rsid w:val="002766F1"/>
    <w:rsid w:val="0027696D"/>
    <w:rsid w:val="00276A49"/>
    <w:rsid w:val="00276A76"/>
    <w:rsid w:val="00276E98"/>
    <w:rsid w:val="00276EF6"/>
    <w:rsid w:val="00276FAA"/>
    <w:rsid w:val="00276FF5"/>
    <w:rsid w:val="00277020"/>
    <w:rsid w:val="002770D1"/>
    <w:rsid w:val="0027714D"/>
    <w:rsid w:val="002772E1"/>
    <w:rsid w:val="0027755E"/>
    <w:rsid w:val="00277560"/>
    <w:rsid w:val="002776D0"/>
    <w:rsid w:val="0027777A"/>
    <w:rsid w:val="002778B7"/>
    <w:rsid w:val="002779E8"/>
    <w:rsid w:val="00277C7C"/>
    <w:rsid w:val="002801FD"/>
    <w:rsid w:val="0028026B"/>
    <w:rsid w:val="00280307"/>
    <w:rsid w:val="0028063A"/>
    <w:rsid w:val="00280E06"/>
    <w:rsid w:val="002810E8"/>
    <w:rsid w:val="002814D6"/>
    <w:rsid w:val="002817FB"/>
    <w:rsid w:val="00281C88"/>
    <w:rsid w:val="00282167"/>
    <w:rsid w:val="00282384"/>
    <w:rsid w:val="002823F6"/>
    <w:rsid w:val="00282506"/>
    <w:rsid w:val="00282586"/>
    <w:rsid w:val="0028288F"/>
    <w:rsid w:val="00282EAB"/>
    <w:rsid w:val="00282F49"/>
    <w:rsid w:val="00282F73"/>
    <w:rsid w:val="00283200"/>
    <w:rsid w:val="00283393"/>
    <w:rsid w:val="0028369C"/>
    <w:rsid w:val="002839D6"/>
    <w:rsid w:val="00283A86"/>
    <w:rsid w:val="00283C2E"/>
    <w:rsid w:val="00283C31"/>
    <w:rsid w:val="00283D7C"/>
    <w:rsid w:val="00284156"/>
    <w:rsid w:val="002844A2"/>
    <w:rsid w:val="00284585"/>
    <w:rsid w:val="00284603"/>
    <w:rsid w:val="00284758"/>
    <w:rsid w:val="00284835"/>
    <w:rsid w:val="00284E00"/>
    <w:rsid w:val="00285101"/>
    <w:rsid w:val="002852E9"/>
    <w:rsid w:val="0028531E"/>
    <w:rsid w:val="00285461"/>
    <w:rsid w:val="00285525"/>
    <w:rsid w:val="00285598"/>
    <w:rsid w:val="00285657"/>
    <w:rsid w:val="002857BF"/>
    <w:rsid w:val="00285A68"/>
    <w:rsid w:val="00285AC2"/>
    <w:rsid w:val="00285CA3"/>
    <w:rsid w:val="00286007"/>
    <w:rsid w:val="0028635D"/>
    <w:rsid w:val="002864DF"/>
    <w:rsid w:val="002866B3"/>
    <w:rsid w:val="00286A91"/>
    <w:rsid w:val="00286B98"/>
    <w:rsid w:val="00286C35"/>
    <w:rsid w:val="00286C68"/>
    <w:rsid w:val="00286F4E"/>
    <w:rsid w:val="00287047"/>
    <w:rsid w:val="002873DD"/>
    <w:rsid w:val="00287453"/>
    <w:rsid w:val="00287512"/>
    <w:rsid w:val="002875DF"/>
    <w:rsid w:val="00287702"/>
    <w:rsid w:val="002877D6"/>
    <w:rsid w:val="002878C1"/>
    <w:rsid w:val="00287908"/>
    <w:rsid w:val="00287BFA"/>
    <w:rsid w:val="00287CD6"/>
    <w:rsid w:val="00287F1E"/>
    <w:rsid w:val="00287F5B"/>
    <w:rsid w:val="00287FB5"/>
    <w:rsid w:val="00290023"/>
    <w:rsid w:val="0029008D"/>
    <w:rsid w:val="00290231"/>
    <w:rsid w:val="00290303"/>
    <w:rsid w:val="002903A9"/>
    <w:rsid w:val="00290413"/>
    <w:rsid w:val="0029054F"/>
    <w:rsid w:val="00290556"/>
    <w:rsid w:val="002906DF"/>
    <w:rsid w:val="0029085C"/>
    <w:rsid w:val="002909B3"/>
    <w:rsid w:val="00290A49"/>
    <w:rsid w:val="00290FA9"/>
    <w:rsid w:val="00291121"/>
    <w:rsid w:val="0029118A"/>
    <w:rsid w:val="0029123E"/>
    <w:rsid w:val="00291264"/>
    <w:rsid w:val="00291475"/>
    <w:rsid w:val="00291608"/>
    <w:rsid w:val="0029164E"/>
    <w:rsid w:val="002916EB"/>
    <w:rsid w:val="00291764"/>
    <w:rsid w:val="002917AA"/>
    <w:rsid w:val="00291909"/>
    <w:rsid w:val="00291F97"/>
    <w:rsid w:val="0029202E"/>
    <w:rsid w:val="00292249"/>
    <w:rsid w:val="002923CD"/>
    <w:rsid w:val="00292534"/>
    <w:rsid w:val="002925CD"/>
    <w:rsid w:val="00292859"/>
    <w:rsid w:val="002928E8"/>
    <w:rsid w:val="00292A7D"/>
    <w:rsid w:val="00292B49"/>
    <w:rsid w:val="00292C61"/>
    <w:rsid w:val="00292EF4"/>
    <w:rsid w:val="00292F73"/>
    <w:rsid w:val="0029327A"/>
    <w:rsid w:val="00293695"/>
    <w:rsid w:val="002939D4"/>
    <w:rsid w:val="00293A32"/>
    <w:rsid w:val="00293A4A"/>
    <w:rsid w:val="00293A7A"/>
    <w:rsid w:val="00293B5E"/>
    <w:rsid w:val="00294416"/>
    <w:rsid w:val="00294422"/>
    <w:rsid w:val="002944E9"/>
    <w:rsid w:val="00294661"/>
    <w:rsid w:val="00294778"/>
    <w:rsid w:val="002948EB"/>
    <w:rsid w:val="00294C36"/>
    <w:rsid w:val="00294DE7"/>
    <w:rsid w:val="002952BD"/>
    <w:rsid w:val="00295508"/>
    <w:rsid w:val="00295551"/>
    <w:rsid w:val="002955AE"/>
    <w:rsid w:val="002955B4"/>
    <w:rsid w:val="0029578A"/>
    <w:rsid w:val="00295933"/>
    <w:rsid w:val="0029613A"/>
    <w:rsid w:val="00296311"/>
    <w:rsid w:val="00296837"/>
    <w:rsid w:val="002968D2"/>
    <w:rsid w:val="00296B07"/>
    <w:rsid w:val="00296CE0"/>
    <w:rsid w:val="002970A3"/>
    <w:rsid w:val="00297146"/>
    <w:rsid w:val="0029729F"/>
    <w:rsid w:val="0029734D"/>
    <w:rsid w:val="002974B3"/>
    <w:rsid w:val="0029768D"/>
    <w:rsid w:val="0029789D"/>
    <w:rsid w:val="002978F0"/>
    <w:rsid w:val="00297B80"/>
    <w:rsid w:val="00297CBA"/>
    <w:rsid w:val="00297D9C"/>
    <w:rsid w:val="002A0132"/>
    <w:rsid w:val="002A02BA"/>
    <w:rsid w:val="002A06FB"/>
    <w:rsid w:val="002A076A"/>
    <w:rsid w:val="002A07FE"/>
    <w:rsid w:val="002A081A"/>
    <w:rsid w:val="002A09F0"/>
    <w:rsid w:val="002A0A1A"/>
    <w:rsid w:val="002A0EED"/>
    <w:rsid w:val="002A0FF8"/>
    <w:rsid w:val="002A1420"/>
    <w:rsid w:val="002A17CD"/>
    <w:rsid w:val="002A17D7"/>
    <w:rsid w:val="002A1812"/>
    <w:rsid w:val="002A1833"/>
    <w:rsid w:val="002A1910"/>
    <w:rsid w:val="002A1A12"/>
    <w:rsid w:val="002A1B3C"/>
    <w:rsid w:val="002A1C63"/>
    <w:rsid w:val="002A1CAD"/>
    <w:rsid w:val="002A1CDE"/>
    <w:rsid w:val="002A224E"/>
    <w:rsid w:val="002A23D4"/>
    <w:rsid w:val="002A26AA"/>
    <w:rsid w:val="002A2823"/>
    <w:rsid w:val="002A2A2B"/>
    <w:rsid w:val="002A2A44"/>
    <w:rsid w:val="002A2AE1"/>
    <w:rsid w:val="002A2C0E"/>
    <w:rsid w:val="002A2C95"/>
    <w:rsid w:val="002A2CA9"/>
    <w:rsid w:val="002A2DA0"/>
    <w:rsid w:val="002A2EE0"/>
    <w:rsid w:val="002A2F19"/>
    <w:rsid w:val="002A2F60"/>
    <w:rsid w:val="002A2FF8"/>
    <w:rsid w:val="002A3226"/>
    <w:rsid w:val="002A33A0"/>
    <w:rsid w:val="002A3424"/>
    <w:rsid w:val="002A3858"/>
    <w:rsid w:val="002A3877"/>
    <w:rsid w:val="002A3ABE"/>
    <w:rsid w:val="002A3E6F"/>
    <w:rsid w:val="002A433F"/>
    <w:rsid w:val="002A434B"/>
    <w:rsid w:val="002A441E"/>
    <w:rsid w:val="002A4566"/>
    <w:rsid w:val="002A45F3"/>
    <w:rsid w:val="002A460E"/>
    <w:rsid w:val="002A488C"/>
    <w:rsid w:val="002A4951"/>
    <w:rsid w:val="002A49C6"/>
    <w:rsid w:val="002A49D8"/>
    <w:rsid w:val="002A4B44"/>
    <w:rsid w:val="002A4C7C"/>
    <w:rsid w:val="002A4E25"/>
    <w:rsid w:val="002A4E72"/>
    <w:rsid w:val="002A4FAC"/>
    <w:rsid w:val="002A5079"/>
    <w:rsid w:val="002A516C"/>
    <w:rsid w:val="002A5305"/>
    <w:rsid w:val="002A54C6"/>
    <w:rsid w:val="002A5A0D"/>
    <w:rsid w:val="002A5A6F"/>
    <w:rsid w:val="002A5B55"/>
    <w:rsid w:val="002A5B92"/>
    <w:rsid w:val="002A5C57"/>
    <w:rsid w:val="002A5EFA"/>
    <w:rsid w:val="002A5F7F"/>
    <w:rsid w:val="002A63B2"/>
    <w:rsid w:val="002A650F"/>
    <w:rsid w:val="002A66D7"/>
    <w:rsid w:val="002A6812"/>
    <w:rsid w:val="002A6C51"/>
    <w:rsid w:val="002A6CAE"/>
    <w:rsid w:val="002A6DC1"/>
    <w:rsid w:val="002A7196"/>
    <w:rsid w:val="002A729D"/>
    <w:rsid w:val="002A72C6"/>
    <w:rsid w:val="002A738A"/>
    <w:rsid w:val="002A7456"/>
    <w:rsid w:val="002A775A"/>
    <w:rsid w:val="002A7A77"/>
    <w:rsid w:val="002A7D4B"/>
    <w:rsid w:val="002A7EE3"/>
    <w:rsid w:val="002A7F39"/>
    <w:rsid w:val="002B00D8"/>
    <w:rsid w:val="002B0117"/>
    <w:rsid w:val="002B026E"/>
    <w:rsid w:val="002B0455"/>
    <w:rsid w:val="002B0463"/>
    <w:rsid w:val="002B0674"/>
    <w:rsid w:val="002B0807"/>
    <w:rsid w:val="002B0AA0"/>
    <w:rsid w:val="002B0F3B"/>
    <w:rsid w:val="002B0F45"/>
    <w:rsid w:val="002B11BF"/>
    <w:rsid w:val="002B12D7"/>
    <w:rsid w:val="002B1313"/>
    <w:rsid w:val="002B17A8"/>
    <w:rsid w:val="002B17DA"/>
    <w:rsid w:val="002B189C"/>
    <w:rsid w:val="002B1ADF"/>
    <w:rsid w:val="002B1CBB"/>
    <w:rsid w:val="002B1D94"/>
    <w:rsid w:val="002B1F02"/>
    <w:rsid w:val="002B1F50"/>
    <w:rsid w:val="002B2095"/>
    <w:rsid w:val="002B2137"/>
    <w:rsid w:val="002B23A8"/>
    <w:rsid w:val="002B25BF"/>
    <w:rsid w:val="002B264E"/>
    <w:rsid w:val="002B2935"/>
    <w:rsid w:val="002B2936"/>
    <w:rsid w:val="002B2B4A"/>
    <w:rsid w:val="002B3081"/>
    <w:rsid w:val="002B38BE"/>
    <w:rsid w:val="002B3A23"/>
    <w:rsid w:val="002B3A28"/>
    <w:rsid w:val="002B3A5D"/>
    <w:rsid w:val="002B3B8C"/>
    <w:rsid w:val="002B3CC7"/>
    <w:rsid w:val="002B3D87"/>
    <w:rsid w:val="002B3DBD"/>
    <w:rsid w:val="002B3F81"/>
    <w:rsid w:val="002B41E7"/>
    <w:rsid w:val="002B447D"/>
    <w:rsid w:val="002B47AF"/>
    <w:rsid w:val="002B4DA5"/>
    <w:rsid w:val="002B4EBD"/>
    <w:rsid w:val="002B4F32"/>
    <w:rsid w:val="002B4F6A"/>
    <w:rsid w:val="002B53C4"/>
    <w:rsid w:val="002B55C3"/>
    <w:rsid w:val="002B5694"/>
    <w:rsid w:val="002B57E3"/>
    <w:rsid w:val="002B57F9"/>
    <w:rsid w:val="002B5CCF"/>
    <w:rsid w:val="002B5CDE"/>
    <w:rsid w:val="002B5CFB"/>
    <w:rsid w:val="002B5D90"/>
    <w:rsid w:val="002B6010"/>
    <w:rsid w:val="002B61E6"/>
    <w:rsid w:val="002B6215"/>
    <w:rsid w:val="002B62A7"/>
    <w:rsid w:val="002B640B"/>
    <w:rsid w:val="002B6463"/>
    <w:rsid w:val="002B669F"/>
    <w:rsid w:val="002B679B"/>
    <w:rsid w:val="002B67BB"/>
    <w:rsid w:val="002B67CC"/>
    <w:rsid w:val="002B68DE"/>
    <w:rsid w:val="002B6B7A"/>
    <w:rsid w:val="002B715C"/>
    <w:rsid w:val="002B7531"/>
    <w:rsid w:val="002B766F"/>
    <w:rsid w:val="002B7738"/>
    <w:rsid w:val="002B78B6"/>
    <w:rsid w:val="002B7918"/>
    <w:rsid w:val="002B7BAA"/>
    <w:rsid w:val="002B7FFA"/>
    <w:rsid w:val="002C0072"/>
    <w:rsid w:val="002C02D3"/>
    <w:rsid w:val="002C031F"/>
    <w:rsid w:val="002C0490"/>
    <w:rsid w:val="002C04BF"/>
    <w:rsid w:val="002C0630"/>
    <w:rsid w:val="002C0898"/>
    <w:rsid w:val="002C0E5F"/>
    <w:rsid w:val="002C103B"/>
    <w:rsid w:val="002C1179"/>
    <w:rsid w:val="002C1216"/>
    <w:rsid w:val="002C138C"/>
    <w:rsid w:val="002C141B"/>
    <w:rsid w:val="002C1497"/>
    <w:rsid w:val="002C150B"/>
    <w:rsid w:val="002C1559"/>
    <w:rsid w:val="002C16C2"/>
    <w:rsid w:val="002C196D"/>
    <w:rsid w:val="002C19E1"/>
    <w:rsid w:val="002C1CBF"/>
    <w:rsid w:val="002C21C4"/>
    <w:rsid w:val="002C237C"/>
    <w:rsid w:val="002C23FD"/>
    <w:rsid w:val="002C26A2"/>
    <w:rsid w:val="002C2A8A"/>
    <w:rsid w:val="002C2BD1"/>
    <w:rsid w:val="002C2BE3"/>
    <w:rsid w:val="002C2C1D"/>
    <w:rsid w:val="002C2F1B"/>
    <w:rsid w:val="002C2FE0"/>
    <w:rsid w:val="002C34CF"/>
    <w:rsid w:val="002C3547"/>
    <w:rsid w:val="002C362F"/>
    <w:rsid w:val="002C3640"/>
    <w:rsid w:val="002C3758"/>
    <w:rsid w:val="002C37CB"/>
    <w:rsid w:val="002C39CA"/>
    <w:rsid w:val="002C3AAA"/>
    <w:rsid w:val="002C3C02"/>
    <w:rsid w:val="002C4464"/>
    <w:rsid w:val="002C4AC5"/>
    <w:rsid w:val="002C4D99"/>
    <w:rsid w:val="002C4F48"/>
    <w:rsid w:val="002C4F82"/>
    <w:rsid w:val="002C4FA0"/>
    <w:rsid w:val="002C53FD"/>
    <w:rsid w:val="002C574D"/>
    <w:rsid w:val="002C59EB"/>
    <w:rsid w:val="002C5DD4"/>
    <w:rsid w:val="002C5E63"/>
    <w:rsid w:val="002C6634"/>
    <w:rsid w:val="002C66A8"/>
    <w:rsid w:val="002C67E0"/>
    <w:rsid w:val="002C6C12"/>
    <w:rsid w:val="002C6C62"/>
    <w:rsid w:val="002C6D96"/>
    <w:rsid w:val="002C732E"/>
    <w:rsid w:val="002C7369"/>
    <w:rsid w:val="002C7515"/>
    <w:rsid w:val="002C7600"/>
    <w:rsid w:val="002C762A"/>
    <w:rsid w:val="002C781F"/>
    <w:rsid w:val="002C7825"/>
    <w:rsid w:val="002C7F92"/>
    <w:rsid w:val="002D000A"/>
    <w:rsid w:val="002D0016"/>
    <w:rsid w:val="002D01C5"/>
    <w:rsid w:val="002D043E"/>
    <w:rsid w:val="002D0CB1"/>
    <w:rsid w:val="002D0E89"/>
    <w:rsid w:val="002D0F15"/>
    <w:rsid w:val="002D1403"/>
    <w:rsid w:val="002D1504"/>
    <w:rsid w:val="002D1702"/>
    <w:rsid w:val="002D1787"/>
    <w:rsid w:val="002D17C7"/>
    <w:rsid w:val="002D17D7"/>
    <w:rsid w:val="002D193C"/>
    <w:rsid w:val="002D196A"/>
    <w:rsid w:val="002D1ABD"/>
    <w:rsid w:val="002D1B63"/>
    <w:rsid w:val="002D1F2C"/>
    <w:rsid w:val="002D23F8"/>
    <w:rsid w:val="002D2569"/>
    <w:rsid w:val="002D25BE"/>
    <w:rsid w:val="002D2615"/>
    <w:rsid w:val="002D2821"/>
    <w:rsid w:val="002D284F"/>
    <w:rsid w:val="002D295A"/>
    <w:rsid w:val="002D29B6"/>
    <w:rsid w:val="002D2C36"/>
    <w:rsid w:val="002D2C4B"/>
    <w:rsid w:val="002D2C60"/>
    <w:rsid w:val="002D2D45"/>
    <w:rsid w:val="002D2F51"/>
    <w:rsid w:val="002D317A"/>
    <w:rsid w:val="002D337F"/>
    <w:rsid w:val="002D340D"/>
    <w:rsid w:val="002D3736"/>
    <w:rsid w:val="002D37DE"/>
    <w:rsid w:val="002D37EC"/>
    <w:rsid w:val="002D3BEF"/>
    <w:rsid w:val="002D3E07"/>
    <w:rsid w:val="002D3F8C"/>
    <w:rsid w:val="002D3F8D"/>
    <w:rsid w:val="002D4093"/>
    <w:rsid w:val="002D41B7"/>
    <w:rsid w:val="002D41C9"/>
    <w:rsid w:val="002D4307"/>
    <w:rsid w:val="002D44F5"/>
    <w:rsid w:val="002D46A5"/>
    <w:rsid w:val="002D472E"/>
    <w:rsid w:val="002D473E"/>
    <w:rsid w:val="002D484B"/>
    <w:rsid w:val="002D4CE4"/>
    <w:rsid w:val="002D50F3"/>
    <w:rsid w:val="002D53A4"/>
    <w:rsid w:val="002D54D2"/>
    <w:rsid w:val="002D5666"/>
    <w:rsid w:val="002D57BF"/>
    <w:rsid w:val="002D5DA6"/>
    <w:rsid w:val="002D5E5B"/>
    <w:rsid w:val="002D5FBA"/>
    <w:rsid w:val="002D5FEB"/>
    <w:rsid w:val="002D61C0"/>
    <w:rsid w:val="002D62C6"/>
    <w:rsid w:val="002D65B0"/>
    <w:rsid w:val="002D6873"/>
    <w:rsid w:val="002D6DC8"/>
    <w:rsid w:val="002D6FA1"/>
    <w:rsid w:val="002D729D"/>
    <w:rsid w:val="002D7305"/>
    <w:rsid w:val="002D75F3"/>
    <w:rsid w:val="002D75FA"/>
    <w:rsid w:val="002D7622"/>
    <w:rsid w:val="002D763C"/>
    <w:rsid w:val="002D77BD"/>
    <w:rsid w:val="002D7A9B"/>
    <w:rsid w:val="002D7B2C"/>
    <w:rsid w:val="002D7DD2"/>
    <w:rsid w:val="002D7E96"/>
    <w:rsid w:val="002E0275"/>
    <w:rsid w:val="002E05E2"/>
    <w:rsid w:val="002E06B4"/>
    <w:rsid w:val="002E06F7"/>
    <w:rsid w:val="002E0883"/>
    <w:rsid w:val="002E095D"/>
    <w:rsid w:val="002E0DCD"/>
    <w:rsid w:val="002E0DF4"/>
    <w:rsid w:val="002E0EED"/>
    <w:rsid w:val="002E1022"/>
    <w:rsid w:val="002E1036"/>
    <w:rsid w:val="002E10C6"/>
    <w:rsid w:val="002E1425"/>
    <w:rsid w:val="002E1507"/>
    <w:rsid w:val="002E1A9F"/>
    <w:rsid w:val="002E1CE5"/>
    <w:rsid w:val="002E1E8A"/>
    <w:rsid w:val="002E21A7"/>
    <w:rsid w:val="002E23CF"/>
    <w:rsid w:val="002E2597"/>
    <w:rsid w:val="002E25C4"/>
    <w:rsid w:val="002E26B5"/>
    <w:rsid w:val="002E2939"/>
    <w:rsid w:val="002E2A4F"/>
    <w:rsid w:val="002E2ADD"/>
    <w:rsid w:val="002E2FE6"/>
    <w:rsid w:val="002E30A7"/>
    <w:rsid w:val="002E30D9"/>
    <w:rsid w:val="002E3164"/>
    <w:rsid w:val="002E323B"/>
    <w:rsid w:val="002E346A"/>
    <w:rsid w:val="002E348B"/>
    <w:rsid w:val="002E3533"/>
    <w:rsid w:val="002E35B4"/>
    <w:rsid w:val="002E36F1"/>
    <w:rsid w:val="002E38E2"/>
    <w:rsid w:val="002E3949"/>
    <w:rsid w:val="002E3A2C"/>
    <w:rsid w:val="002E3DD0"/>
    <w:rsid w:val="002E3F9A"/>
    <w:rsid w:val="002E40AA"/>
    <w:rsid w:val="002E4146"/>
    <w:rsid w:val="002E4198"/>
    <w:rsid w:val="002E48DB"/>
    <w:rsid w:val="002E4C44"/>
    <w:rsid w:val="002E4C5B"/>
    <w:rsid w:val="002E4E5E"/>
    <w:rsid w:val="002E5043"/>
    <w:rsid w:val="002E51A0"/>
    <w:rsid w:val="002E5212"/>
    <w:rsid w:val="002E5213"/>
    <w:rsid w:val="002E5383"/>
    <w:rsid w:val="002E555F"/>
    <w:rsid w:val="002E5620"/>
    <w:rsid w:val="002E5654"/>
    <w:rsid w:val="002E5661"/>
    <w:rsid w:val="002E56A6"/>
    <w:rsid w:val="002E57C7"/>
    <w:rsid w:val="002E580D"/>
    <w:rsid w:val="002E5864"/>
    <w:rsid w:val="002E5A5A"/>
    <w:rsid w:val="002E5ABD"/>
    <w:rsid w:val="002E5AD1"/>
    <w:rsid w:val="002E5B0A"/>
    <w:rsid w:val="002E5DE3"/>
    <w:rsid w:val="002E5E93"/>
    <w:rsid w:val="002E5F36"/>
    <w:rsid w:val="002E643F"/>
    <w:rsid w:val="002E680A"/>
    <w:rsid w:val="002E6B77"/>
    <w:rsid w:val="002E6DD5"/>
    <w:rsid w:val="002E6E97"/>
    <w:rsid w:val="002E74C6"/>
    <w:rsid w:val="002E75F0"/>
    <w:rsid w:val="002E764D"/>
    <w:rsid w:val="002E76C0"/>
    <w:rsid w:val="002E7769"/>
    <w:rsid w:val="002E77F6"/>
    <w:rsid w:val="002E7898"/>
    <w:rsid w:val="002E7908"/>
    <w:rsid w:val="002E79E5"/>
    <w:rsid w:val="002E7A2A"/>
    <w:rsid w:val="002E7A80"/>
    <w:rsid w:val="002E7FFC"/>
    <w:rsid w:val="002F0008"/>
    <w:rsid w:val="002F010C"/>
    <w:rsid w:val="002F01C6"/>
    <w:rsid w:val="002F076C"/>
    <w:rsid w:val="002F07A0"/>
    <w:rsid w:val="002F07A5"/>
    <w:rsid w:val="002F08AA"/>
    <w:rsid w:val="002F0912"/>
    <w:rsid w:val="002F0AD1"/>
    <w:rsid w:val="002F0C27"/>
    <w:rsid w:val="002F0D03"/>
    <w:rsid w:val="002F0DE6"/>
    <w:rsid w:val="002F0FC3"/>
    <w:rsid w:val="002F104C"/>
    <w:rsid w:val="002F1180"/>
    <w:rsid w:val="002F11E0"/>
    <w:rsid w:val="002F1215"/>
    <w:rsid w:val="002F124D"/>
    <w:rsid w:val="002F14B6"/>
    <w:rsid w:val="002F1893"/>
    <w:rsid w:val="002F1921"/>
    <w:rsid w:val="002F197E"/>
    <w:rsid w:val="002F1AA9"/>
    <w:rsid w:val="002F1B02"/>
    <w:rsid w:val="002F1B84"/>
    <w:rsid w:val="002F1BCC"/>
    <w:rsid w:val="002F1C15"/>
    <w:rsid w:val="002F1C34"/>
    <w:rsid w:val="002F2466"/>
    <w:rsid w:val="002F2590"/>
    <w:rsid w:val="002F283D"/>
    <w:rsid w:val="002F2CC5"/>
    <w:rsid w:val="002F2FCC"/>
    <w:rsid w:val="002F3001"/>
    <w:rsid w:val="002F3222"/>
    <w:rsid w:val="002F34BB"/>
    <w:rsid w:val="002F37FC"/>
    <w:rsid w:val="002F3A27"/>
    <w:rsid w:val="002F3B00"/>
    <w:rsid w:val="002F3E06"/>
    <w:rsid w:val="002F3E81"/>
    <w:rsid w:val="002F404B"/>
    <w:rsid w:val="002F40B5"/>
    <w:rsid w:val="002F44C5"/>
    <w:rsid w:val="002F45A6"/>
    <w:rsid w:val="002F45B7"/>
    <w:rsid w:val="002F47BB"/>
    <w:rsid w:val="002F4B3A"/>
    <w:rsid w:val="002F4BF8"/>
    <w:rsid w:val="002F4D6F"/>
    <w:rsid w:val="002F4D92"/>
    <w:rsid w:val="002F4E5F"/>
    <w:rsid w:val="002F4EA5"/>
    <w:rsid w:val="002F52A1"/>
    <w:rsid w:val="002F52C6"/>
    <w:rsid w:val="002F5455"/>
    <w:rsid w:val="002F5476"/>
    <w:rsid w:val="002F5503"/>
    <w:rsid w:val="002F56A9"/>
    <w:rsid w:val="002F58DA"/>
    <w:rsid w:val="002F5A02"/>
    <w:rsid w:val="002F5BD4"/>
    <w:rsid w:val="002F5C98"/>
    <w:rsid w:val="002F5DE1"/>
    <w:rsid w:val="002F5E9B"/>
    <w:rsid w:val="002F5ED8"/>
    <w:rsid w:val="002F5F7A"/>
    <w:rsid w:val="002F60EE"/>
    <w:rsid w:val="002F62A0"/>
    <w:rsid w:val="002F63B4"/>
    <w:rsid w:val="002F6637"/>
    <w:rsid w:val="002F675B"/>
    <w:rsid w:val="002F6776"/>
    <w:rsid w:val="002F6807"/>
    <w:rsid w:val="002F6845"/>
    <w:rsid w:val="002F68BA"/>
    <w:rsid w:val="002F6970"/>
    <w:rsid w:val="002F6AB6"/>
    <w:rsid w:val="002F6F96"/>
    <w:rsid w:val="002F7024"/>
    <w:rsid w:val="002F70A1"/>
    <w:rsid w:val="002F74AF"/>
    <w:rsid w:val="002F74D3"/>
    <w:rsid w:val="002F7571"/>
    <w:rsid w:val="002F778D"/>
    <w:rsid w:val="002F78A2"/>
    <w:rsid w:val="002F7AE5"/>
    <w:rsid w:val="002F7C93"/>
    <w:rsid w:val="002F7DC3"/>
    <w:rsid w:val="002F7E8F"/>
    <w:rsid w:val="002F7E91"/>
    <w:rsid w:val="002F7F04"/>
    <w:rsid w:val="002F7FF6"/>
    <w:rsid w:val="003005A0"/>
    <w:rsid w:val="003005B9"/>
    <w:rsid w:val="00300705"/>
    <w:rsid w:val="00300EFC"/>
    <w:rsid w:val="0030117D"/>
    <w:rsid w:val="003012E7"/>
    <w:rsid w:val="003016C7"/>
    <w:rsid w:val="003018E5"/>
    <w:rsid w:val="00301A54"/>
    <w:rsid w:val="00301BB3"/>
    <w:rsid w:val="00301C54"/>
    <w:rsid w:val="00301CED"/>
    <w:rsid w:val="00301DE6"/>
    <w:rsid w:val="00301E76"/>
    <w:rsid w:val="00301FEC"/>
    <w:rsid w:val="0030209D"/>
    <w:rsid w:val="00302352"/>
    <w:rsid w:val="00302405"/>
    <w:rsid w:val="0030255D"/>
    <w:rsid w:val="0030259B"/>
    <w:rsid w:val="003025C6"/>
    <w:rsid w:val="0030296B"/>
    <w:rsid w:val="00302A70"/>
    <w:rsid w:val="00302B18"/>
    <w:rsid w:val="00302BC4"/>
    <w:rsid w:val="00302D86"/>
    <w:rsid w:val="00302DDB"/>
    <w:rsid w:val="00302E2F"/>
    <w:rsid w:val="00302F57"/>
    <w:rsid w:val="00302F75"/>
    <w:rsid w:val="00303197"/>
    <w:rsid w:val="003032A9"/>
    <w:rsid w:val="003033FC"/>
    <w:rsid w:val="00303A18"/>
    <w:rsid w:val="00303A7E"/>
    <w:rsid w:val="00303B88"/>
    <w:rsid w:val="00303CA6"/>
    <w:rsid w:val="00303DFE"/>
    <w:rsid w:val="00304038"/>
    <w:rsid w:val="0030415B"/>
    <w:rsid w:val="003041A4"/>
    <w:rsid w:val="00304354"/>
    <w:rsid w:val="003043D2"/>
    <w:rsid w:val="003043F1"/>
    <w:rsid w:val="0030444F"/>
    <w:rsid w:val="0030495E"/>
    <w:rsid w:val="00304971"/>
    <w:rsid w:val="00304A90"/>
    <w:rsid w:val="00304AC3"/>
    <w:rsid w:val="00304CC2"/>
    <w:rsid w:val="00304EF9"/>
    <w:rsid w:val="003053D9"/>
    <w:rsid w:val="003053E4"/>
    <w:rsid w:val="00305453"/>
    <w:rsid w:val="00305588"/>
    <w:rsid w:val="00305788"/>
    <w:rsid w:val="00305800"/>
    <w:rsid w:val="00305833"/>
    <w:rsid w:val="003058E7"/>
    <w:rsid w:val="00305A81"/>
    <w:rsid w:val="00305B64"/>
    <w:rsid w:val="00305F30"/>
    <w:rsid w:val="00305FF4"/>
    <w:rsid w:val="003064B7"/>
    <w:rsid w:val="00306D29"/>
    <w:rsid w:val="00306FB0"/>
    <w:rsid w:val="00307111"/>
    <w:rsid w:val="00307418"/>
    <w:rsid w:val="00307A60"/>
    <w:rsid w:val="00307C59"/>
    <w:rsid w:val="00307D9A"/>
    <w:rsid w:val="00307DD6"/>
    <w:rsid w:val="00307E26"/>
    <w:rsid w:val="00310270"/>
    <w:rsid w:val="003102B7"/>
    <w:rsid w:val="00310786"/>
    <w:rsid w:val="00310A82"/>
    <w:rsid w:val="00310B68"/>
    <w:rsid w:val="00310E48"/>
    <w:rsid w:val="00310E51"/>
    <w:rsid w:val="00310F3B"/>
    <w:rsid w:val="00310FB7"/>
    <w:rsid w:val="003110F8"/>
    <w:rsid w:val="00311154"/>
    <w:rsid w:val="0031119C"/>
    <w:rsid w:val="003112D6"/>
    <w:rsid w:val="003112F3"/>
    <w:rsid w:val="00311536"/>
    <w:rsid w:val="00311590"/>
    <w:rsid w:val="00311597"/>
    <w:rsid w:val="00311686"/>
    <w:rsid w:val="00311761"/>
    <w:rsid w:val="0031178F"/>
    <w:rsid w:val="003118FE"/>
    <w:rsid w:val="00311F16"/>
    <w:rsid w:val="00311FED"/>
    <w:rsid w:val="0031246C"/>
    <w:rsid w:val="003124B2"/>
    <w:rsid w:val="003126AC"/>
    <w:rsid w:val="00312BC2"/>
    <w:rsid w:val="00312BF8"/>
    <w:rsid w:val="00312C66"/>
    <w:rsid w:val="00313045"/>
    <w:rsid w:val="003131E4"/>
    <w:rsid w:val="003132BD"/>
    <w:rsid w:val="003132C5"/>
    <w:rsid w:val="003134D4"/>
    <w:rsid w:val="00313513"/>
    <w:rsid w:val="0031356D"/>
    <w:rsid w:val="003136E8"/>
    <w:rsid w:val="003137AD"/>
    <w:rsid w:val="003139ED"/>
    <w:rsid w:val="00313A56"/>
    <w:rsid w:val="00313A96"/>
    <w:rsid w:val="00313D78"/>
    <w:rsid w:val="00313F8A"/>
    <w:rsid w:val="003141CF"/>
    <w:rsid w:val="003141F8"/>
    <w:rsid w:val="0031438B"/>
    <w:rsid w:val="003144F1"/>
    <w:rsid w:val="00314794"/>
    <w:rsid w:val="003149BC"/>
    <w:rsid w:val="00314A1E"/>
    <w:rsid w:val="003151ED"/>
    <w:rsid w:val="00315781"/>
    <w:rsid w:val="003158A2"/>
    <w:rsid w:val="00315C2C"/>
    <w:rsid w:val="00315F4F"/>
    <w:rsid w:val="00316071"/>
    <w:rsid w:val="003160AE"/>
    <w:rsid w:val="0031617D"/>
    <w:rsid w:val="0031623C"/>
    <w:rsid w:val="00316318"/>
    <w:rsid w:val="00316388"/>
    <w:rsid w:val="00316554"/>
    <w:rsid w:val="00316602"/>
    <w:rsid w:val="00316666"/>
    <w:rsid w:val="0031675B"/>
    <w:rsid w:val="003169C8"/>
    <w:rsid w:val="00316B18"/>
    <w:rsid w:val="00316BDB"/>
    <w:rsid w:val="00316C4C"/>
    <w:rsid w:val="00316D8A"/>
    <w:rsid w:val="00316E21"/>
    <w:rsid w:val="00316E6F"/>
    <w:rsid w:val="00316F9B"/>
    <w:rsid w:val="0031702E"/>
    <w:rsid w:val="003172AD"/>
    <w:rsid w:val="0031774C"/>
    <w:rsid w:val="0031793A"/>
    <w:rsid w:val="003179D9"/>
    <w:rsid w:val="00317B04"/>
    <w:rsid w:val="00317B9B"/>
    <w:rsid w:val="00317C07"/>
    <w:rsid w:val="00317D31"/>
    <w:rsid w:val="00317DD9"/>
    <w:rsid w:val="00317E08"/>
    <w:rsid w:val="00320047"/>
    <w:rsid w:val="00320CF0"/>
    <w:rsid w:val="00320DD5"/>
    <w:rsid w:val="00321249"/>
    <w:rsid w:val="00321607"/>
    <w:rsid w:val="00321707"/>
    <w:rsid w:val="00321806"/>
    <w:rsid w:val="0032190E"/>
    <w:rsid w:val="00321C56"/>
    <w:rsid w:val="00321EE5"/>
    <w:rsid w:val="0032264A"/>
    <w:rsid w:val="00322664"/>
    <w:rsid w:val="003226CF"/>
    <w:rsid w:val="00322865"/>
    <w:rsid w:val="00322ADE"/>
    <w:rsid w:val="00322B7E"/>
    <w:rsid w:val="00322B81"/>
    <w:rsid w:val="00322C6F"/>
    <w:rsid w:val="00322CDE"/>
    <w:rsid w:val="00322FB9"/>
    <w:rsid w:val="00322FEB"/>
    <w:rsid w:val="003232E8"/>
    <w:rsid w:val="0032335F"/>
    <w:rsid w:val="0032352F"/>
    <w:rsid w:val="00323560"/>
    <w:rsid w:val="0032359D"/>
    <w:rsid w:val="00323646"/>
    <w:rsid w:val="00323674"/>
    <w:rsid w:val="003237EE"/>
    <w:rsid w:val="0032389F"/>
    <w:rsid w:val="003238C0"/>
    <w:rsid w:val="003239A2"/>
    <w:rsid w:val="00323C26"/>
    <w:rsid w:val="00323E23"/>
    <w:rsid w:val="00323EAC"/>
    <w:rsid w:val="00323F8C"/>
    <w:rsid w:val="00324116"/>
    <w:rsid w:val="003245E3"/>
    <w:rsid w:val="003245F9"/>
    <w:rsid w:val="00324730"/>
    <w:rsid w:val="003248A3"/>
    <w:rsid w:val="00324BD7"/>
    <w:rsid w:val="00324E53"/>
    <w:rsid w:val="00324FE9"/>
    <w:rsid w:val="0032525B"/>
    <w:rsid w:val="0032536F"/>
    <w:rsid w:val="003253A8"/>
    <w:rsid w:val="003254D0"/>
    <w:rsid w:val="00325828"/>
    <w:rsid w:val="00325852"/>
    <w:rsid w:val="00325CF9"/>
    <w:rsid w:val="00325DC0"/>
    <w:rsid w:val="00325F6C"/>
    <w:rsid w:val="003260EB"/>
    <w:rsid w:val="00326333"/>
    <w:rsid w:val="003264E4"/>
    <w:rsid w:val="0032655E"/>
    <w:rsid w:val="003265EC"/>
    <w:rsid w:val="003266D7"/>
    <w:rsid w:val="00326A9A"/>
    <w:rsid w:val="00326BCB"/>
    <w:rsid w:val="0032729F"/>
    <w:rsid w:val="00327360"/>
    <w:rsid w:val="0032739D"/>
    <w:rsid w:val="00327478"/>
    <w:rsid w:val="003274C6"/>
    <w:rsid w:val="003277BA"/>
    <w:rsid w:val="0032787E"/>
    <w:rsid w:val="00327C6C"/>
    <w:rsid w:val="00327DE7"/>
    <w:rsid w:val="00327DEA"/>
    <w:rsid w:val="00330004"/>
    <w:rsid w:val="003301A1"/>
    <w:rsid w:val="003301E6"/>
    <w:rsid w:val="00330508"/>
    <w:rsid w:val="0033068F"/>
    <w:rsid w:val="00330810"/>
    <w:rsid w:val="00330E72"/>
    <w:rsid w:val="00330F36"/>
    <w:rsid w:val="00330F97"/>
    <w:rsid w:val="003310A7"/>
    <w:rsid w:val="00331607"/>
    <w:rsid w:val="003317B0"/>
    <w:rsid w:val="00331891"/>
    <w:rsid w:val="0033196B"/>
    <w:rsid w:val="00331C3D"/>
    <w:rsid w:val="00331CB9"/>
    <w:rsid w:val="00331E0C"/>
    <w:rsid w:val="00331E33"/>
    <w:rsid w:val="00331F01"/>
    <w:rsid w:val="00331F39"/>
    <w:rsid w:val="00331F3C"/>
    <w:rsid w:val="00331F7E"/>
    <w:rsid w:val="0033215A"/>
    <w:rsid w:val="0033280C"/>
    <w:rsid w:val="00332880"/>
    <w:rsid w:val="0033297B"/>
    <w:rsid w:val="00332BD3"/>
    <w:rsid w:val="00332C42"/>
    <w:rsid w:val="00332D6B"/>
    <w:rsid w:val="00332D93"/>
    <w:rsid w:val="00332EBC"/>
    <w:rsid w:val="00333108"/>
    <w:rsid w:val="00333178"/>
    <w:rsid w:val="003334C3"/>
    <w:rsid w:val="003335EF"/>
    <w:rsid w:val="00333743"/>
    <w:rsid w:val="00333915"/>
    <w:rsid w:val="00333929"/>
    <w:rsid w:val="00333967"/>
    <w:rsid w:val="00333A4D"/>
    <w:rsid w:val="00333B37"/>
    <w:rsid w:val="00333BDF"/>
    <w:rsid w:val="00333C00"/>
    <w:rsid w:val="00333DA9"/>
    <w:rsid w:val="00333E60"/>
    <w:rsid w:val="00333EDA"/>
    <w:rsid w:val="00334089"/>
    <w:rsid w:val="003340D6"/>
    <w:rsid w:val="0033428F"/>
    <w:rsid w:val="0033432E"/>
    <w:rsid w:val="00334421"/>
    <w:rsid w:val="00334441"/>
    <w:rsid w:val="00334534"/>
    <w:rsid w:val="0033461F"/>
    <w:rsid w:val="00334781"/>
    <w:rsid w:val="0033483E"/>
    <w:rsid w:val="00334928"/>
    <w:rsid w:val="00334DDE"/>
    <w:rsid w:val="00334ED7"/>
    <w:rsid w:val="00334F49"/>
    <w:rsid w:val="00334FFC"/>
    <w:rsid w:val="003350AC"/>
    <w:rsid w:val="003353BB"/>
    <w:rsid w:val="00335441"/>
    <w:rsid w:val="00335975"/>
    <w:rsid w:val="00335A83"/>
    <w:rsid w:val="00335C33"/>
    <w:rsid w:val="00335D1A"/>
    <w:rsid w:val="0033601B"/>
    <w:rsid w:val="0033630D"/>
    <w:rsid w:val="00336427"/>
    <w:rsid w:val="0033646D"/>
    <w:rsid w:val="003364D5"/>
    <w:rsid w:val="0033651D"/>
    <w:rsid w:val="0033655F"/>
    <w:rsid w:val="00336BBE"/>
    <w:rsid w:val="00336F1C"/>
    <w:rsid w:val="00337148"/>
    <w:rsid w:val="00337295"/>
    <w:rsid w:val="0033756F"/>
    <w:rsid w:val="0033757B"/>
    <w:rsid w:val="003376A4"/>
    <w:rsid w:val="00337864"/>
    <w:rsid w:val="00337872"/>
    <w:rsid w:val="00337AA9"/>
    <w:rsid w:val="00337C8D"/>
    <w:rsid w:val="00340070"/>
    <w:rsid w:val="003400AF"/>
    <w:rsid w:val="0034031B"/>
    <w:rsid w:val="00340344"/>
    <w:rsid w:val="00340403"/>
    <w:rsid w:val="00340705"/>
    <w:rsid w:val="00340746"/>
    <w:rsid w:val="0034088D"/>
    <w:rsid w:val="00340900"/>
    <w:rsid w:val="00340A30"/>
    <w:rsid w:val="00340A84"/>
    <w:rsid w:val="00340B64"/>
    <w:rsid w:val="00340BD1"/>
    <w:rsid w:val="00340FC8"/>
    <w:rsid w:val="003410CF"/>
    <w:rsid w:val="003411D8"/>
    <w:rsid w:val="003412FA"/>
    <w:rsid w:val="003413E7"/>
    <w:rsid w:val="00341C24"/>
    <w:rsid w:val="00341DD6"/>
    <w:rsid w:val="00341FF0"/>
    <w:rsid w:val="0034205A"/>
    <w:rsid w:val="0034213F"/>
    <w:rsid w:val="00342148"/>
    <w:rsid w:val="00342161"/>
    <w:rsid w:val="0034225A"/>
    <w:rsid w:val="00342280"/>
    <w:rsid w:val="00342337"/>
    <w:rsid w:val="00342420"/>
    <w:rsid w:val="00342C83"/>
    <w:rsid w:val="00342E3C"/>
    <w:rsid w:val="00342EBF"/>
    <w:rsid w:val="00343280"/>
    <w:rsid w:val="003433BA"/>
    <w:rsid w:val="003434FC"/>
    <w:rsid w:val="003436D6"/>
    <w:rsid w:val="00343790"/>
    <w:rsid w:val="0034382B"/>
    <w:rsid w:val="00343939"/>
    <w:rsid w:val="00343F1C"/>
    <w:rsid w:val="003441B8"/>
    <w:rsid w:val="003444A8"/>
    <w:rsid w:val="003445F2"/>
    <w:rsid w:val="003445FD"/>
    <w:rsid w:val="0034469B"/>
    <w:rsid w:val="00344817"/>
    <w:rsid w:val="003449F8"/>
    <w:rsid w:val="00344C03"/>
    <w:rsid w:val="00344DE7"/>
    <w:rsid w:val="0034508A"/>
    <w:rsid w:val="003454BF"/>
    <w:rsid w:val="00345506"/>
    <w:rsid w:val="003455E0"/>
    <w:rsid w:val="003457AF"/>
    <w:rsid w:val="003457BC"/>
    <w:rsid w:val="003458FD"/>
    <w:rsid w:val="00345951"/>
    <w:rsid w:val="00345A43"/>
    <w:rsid w:val="00345A6B"/>
    <w:rsid w:val="00345AD3"/>
    <w:rsid w:val="00345B04"/>
    <w:rsid w:val="00345C5C"/>
    <w:rsid w:val="00345CC4"/>
    <w:rsid w:val="00345E93"/>
    <w:rsid w:val="00345F58"/>
    <w:rsid w:val="00346111"/>
    <w:rsid w:val="003462E7"/>
    <w:rsid w:val="003463DE"/>
    <w:rsid w:val="00346561"/>
    <w:rsid w:val="0034672A"/>
    <w:rsid w:val="00346993"/>
    <w:rsid w:val="00346AF9"/>
    <w:rsid w:val="00347049"/>
    <w:rsid w:val="00347244"/>
    <w:rsid w:val="0034725D"/>
    <w:rsid w:val="003473DF"/>
    <w:rsid w:val="003473F4"/>
    <w:rsid w:val="0034745E"/>
    <w:rsid w:val="0034754C"/>
    <w:rsid w:val="003475E7"/>
    <w:rsid w:val="00347989"/>
    <w:rsid w:val="00347996"/>
    <w:rsid w:val="00347ACF"/>
    <w:rsid w:val="00347B0C"/>
    <w:rsid w:val="00350088"/>
    <w:rsid w:val="00350252"/>
    <w:rsid w:val="0035032E"/>
    <w:rsid w:val="003503DE"/>
    <w:rsid w:val="003503EC"/>
    <w:rsid w:val="00350445"/>
    <w:rsid w:val="0035060D"/>
    <w:rsid w:val="003506B7"/>
    <w:rsid w:val="0035075D"/>
    <w:rsid w:val="003508E6"/>
    <w:rsid w:val="00350AD8"/>
    <w:rsid w:val="00350AFC"/>
    <w:rsid w:val="00351036"/>
    <w:rsid w:val="00351096"/>
    <w:rsid w:val="003510BB"/>
    <w:rsid w:val="003512E2"/>
    <w:rsid w:val="003513C7"/>
    <w:rsid w:val="003514F6"/>
    <w:rsid w:val="00351526"/>
    <w:rsid w:val="0035176B"/>
    <w:rsid w:val="00351C79"/>
    <w:rsid w:val="00351FF3"/>
    <w:rsid w:val="003527D9"/>
    <w:rsid w:val="0035282F"/>
    <w:rsid w:val="003529BF"/>
    <w:rsid w:val="00352A56"/>
    <w:rsid w:val="00352A8A"/>
    <w:rsid w:val="00352F47"/>
    <w:rsid w:val="00352FC8"/>
    <w:rsid w:val="003530E9"/>
    <w:rsid w:val="0035366F"/>
    <w:rsid w:val="00353752"/>
    <w:rsid w:val="00353771"/>
    <w:rsid w:val="0035399E"/>
    <w:rsid w:val="00353AD9"/>
    <w:rsid w:val="00353B33"/>
    <w:rsid w:val="00353CC7"/>
    <w:rsid w:val="00353D2E"/>
    <w:rsid w:val="00353E89"/>
    <w:rsid w:val="00354079"/>
    <w:rsid w:val="003541B4"/>
    <w:rsid w:val="003541C8"/>
    <w:rsid w:val="003543B9"/>
    <w:rsid w:val="003546DA"/>
    <w:rsid w:val="0035491E"/>
    <w:rsid w:val="0035502A"/>
    <w:rsid w:val="00355096"/>
    <w:rsid w:val="00355117"/>
    <w:rsid w:val="00355238"/>
    <w:rsid w:val="0035528C"/>
    <w:rsid w:val="0035544C"/>
    <w:rsid w:val="0035550F"/>
    <w:rsid w:val="003555E0"/>
    <w:rsid w:val="00355870"/>
    <w:rsid w:val="00355946"/>
    <w:rsid w:val="00355961"/>
    <w:rsid w:val="00355B7F"/>
    <w:rsid w:val="00355BD8"/>
    <w:rsid w:val="0035621E"/>
    <w:rsid w:val="00356308"/>
    <w:rsid w:val="00356320"/>
    <w:rsid w:val="003564C2"/>
    <w:rsid w:val="00356756"/>
    <w:rsid w:val="00356808"/>
    <w:rsid w:val="00356B63"/>
    <w:rsid w:val="00356BB7"/>
    <w:rsid w:val="00356BBD"/>
    <w:rsid w:val="00356F0B"/>
    <w:rsid w:val="00357101"/>
    <w:rsid w:val="0035726E"/>
    <w:rsid w:val="00357978"/>
    <w:rsid w:val="003579B1"/>
    <w:rsid w:val="00357EEE"/>
    <w:rsid w:val="00357F9C"/>
    <w:rsid w:val="00360160"/>
    <w:rsid w:val="00360240"/>
    <w:rsid w:val="00360282"/>
    <w:rsid w:val="00360594"/>
    <w:rsid w:val="003605D2"/>
    <w:rsid w:val="00360BAE"/>
    <w:rsid w:val="00360BD4"/>
    <w:rsid w:val="00360C82"/>
    <w:rsid w:val="0036101E"/>
    <w:rsid w:val="0036137D"/>
    <w:rsid w:val="00361554"/>
    <w:rsid w:val="003615E7"/>
    <w:rsid w:val="003618DE"/>
    <w:rsid w:val="00361944"/>
    <w:rsid w:val="00361DAD"/>
    <w:rsid w:val="00361F1B"/>
    <w:rsid w:val="00361F3F"/>
    <w:rsid w:val="00361FEA"/>
    <w:rsid w:val="003621D7"/>
    <w:rsid w:val="003621E1"/>
    <w:rsid w:val="00362380"/>
    <w:rsid w:val="003623E9"/>
    <w:rsid w:val="0036298E"/>
    <w:rsid w:val="0036299C"/>
    <w:rsid w:val="00362A5E"/>
    <w:rsid w:val="00362B1C"/>
    <w:rsid w:val="00362B2F"/>
    <w:rsid w:val="00362B43"/>
    <w:rsid w:val="00362D18"/>
    <w:rsid w:val="00362E0D"/>
    <w:rsid w:val="00362F3E"/>
    <w:rsid w:val="00363187"/>
    <w:rsid w:val="003631A9"/>
    <w:rsid w:val="00363228"/>
    <w:rsid w:val="003632CC"/>
    <w:rsid w:val="00363815"/>
    <w:rsid w:val="00363942"/>
    <w:rsid w:val="003639E5"/>
    <w:rsid w:val="00363A81"/>
    <w:rsid w:val="00363B83"/>
    <w:rsid w:val="00363CA8"/>
    <w:rsid w:val="00363FF3"/>
    <w:rsid w:val="00364043"/>
    <w:rsid w:val="003644E8"/>
    <w:rsid w:val="00364658"/>
    <w:rsid w:val="00364714"/>
    <w:rsid w:val="0036477D"/>
    <w:rsid w:val="00364856"/>
    <w:rsid w:val="00364A5F"/>
    <w:rsid w:val="00364CDC"/>
    <w:rsid w:val="00364DB1"/>
    <w:rsid w:val="00364E3D"/>
    <w:rsid w:val="003653EC"/>
    <w:rsid w:val="0036577C"/>
    <w:rsid w:val="00365893"/>
    <w:rsid w:val="003659DC"/>
    <w:rsid w:val="00365A96"/>
    <w:rsid w:val="00365AE3"/>
    <w:rsid w:val="00365BC8"/>
    <w:rsid w:val="00365C24"/>
    <w:rsid w:val="0036612B"/>
    <w:rsid w:val="003662C7"/>
    <w:rsid w:val="00366300"/>
    <w:rsid w:val="00366877"/>
    <w:rsid w:val="003669E0"/>
    <w:rsid w:val="00366DAC"/>
    <w:rsid w:val="00366E32"/>
    <w:rsid w:val="00366F77"/>
    <w:rsid w:val="003670E8"/>
    <w:rsid w:val="003674D2"/>
    <w:rsid w:val="003675AF"/>
    <w:rsid w:val="0036766E"/>
    <w:rsid w:val="00367E90"/>
    <w:rsid w:val="00367F29"/>
    <w:rsid w:val="00367FDD"/>
    <w:rsid w:val="00370029"/>
    <w:rsid w:val="00370274"/>
    <w:rsid w:val="00370625"/>
    <w:rsid w:val="003707AC"/>
    <w:rsid w:val="003707E3"/>
    <w:rsid w:val="003709B8"/>
    <w:rsid w:val="00370CA8"/>
    <w:rsid w:val="00370FC6"/>
    <w:rsid w:val="00371050"/>
    <w:rsid w:val="00371196"/>
    <w:rsid w:val="0037175E"/>
    <w:rsid w:val="00371B4C"/>
    <w:rsid w:val="00371DFB"/>
    <w:rsid w:val="00371FCA"/>
    <w:rsid w:val="00371FE9"/>
    <w:rsid w:val="00372005"/>
    <w:rsid w:val="0037228B"/>
    <w:rsid w:val="00372543"/>
    <w:rsid w:val="00372980"/>
    <w:rsid w:val="00372AE8"/>
    <w:rsid w:val="00372B15"/>
    <w:rsid w:val="00372D8A"/>
    <w:rsid w:val="00372F59"/>
    <w:rsid w:val="00372F81"/>
    <w:rsid w:val="00373045"/>
    <w:rsid w:val="0037323B"/>
    <w:rsid w:val="0037345E"/>
    <w:rsid w:val="00373773"/>
    <w:rsid w:val="003737D8"/>
    <w:rsid w:val="00373808"/>
    <w:rsid w:val="003739E3"/>
    <w:rsid w:val="003739F8"/>
    <w:rsid w:val="00373C96"/>
    <w:rsid w:val="00373D32"/>
    <w:rsid w:val="00373D80"/>
    <w:rsid w:val="00374069"/>
    <w:rsid w:val="00374227"/>
    <w:rsid w:val="0037426F"/>
    <w:rsid w:val="003744CB"/>
    <w:rsid w:val="003744CD"/>
    <w:rsid w:val="00374559"/>
    <w:rsid w:val="00374A29"/>
    <w:rsid w:val="00374C14"/>
    <w:rsid w:val="00374C9E"/>
    <w:rsid w:val="00374CA0"/>
    <w:rsid w:val="00374CF2"/>
    <w:rsid w:val="00375245"/>
    <w:rsid w:val="00375305"/>
    <w:rsid w:val="00375324"/>
    <w:rsid w:val="0037536A"/>
    <w:rsid w:val="00375480"/>
    <w:rsid w:val="00375767"/>
    <w:rsid w:val="00375AED"/>
    <w:rsid w:val="00375D25"/>
    <w:rsid w:val="00375E3E"/>
    <w:rsid w:val="00375F56"/>
    <w:rsid w:val="00376299"/>
    <w:rsid w:val="0037636E"/>
    <w:rsid w:val="00376469"/>
    <w:rsid w:val="003765E2"/>
    <w:rsid w:val="0037692F"/>
    <w:rsid w:val="0037699B"/>
    <w:rsid w:val="00376A6F"/>
    <w:rsid w:val="00376BA3"/>
    <w:rsid w:val="00376CA2"/>
    <w:rsid w:val="00376FAE"/>
    <w:rsid w:val="003771A7"/>
    <w:rsid w:val="003774F8"/>
    <w:rsid w:val="00377530"/>
    <w:rsid w:val="00377585"/>
    <w:rsid w:val="003776E8"/>
    <w:rsid w:val="003777C5"/>
    <w:rsid w:val="00377997"/>
    <w:rsid w:val="00377DBB"/>
    <w:rsid w:val="00377E73"/>
    <w:rsid w:val="003801A8"/>
    <w:rsid w:val="003803C9"/>
    <w:rsid w:val="003807BC"/>
    <w:rsid w:val="003808FA"/>
    <w:rsid w:val="00380B0B"/>
    <w:rsid w:val="00380E33"/>
    <w:rsid w:val="00380E63"/>
    <w:rsid w:val="00380EE5"/>
    <w:rsid w:val="00380F07"/>
    <w:rsid w:val="00381017"/>
    <w:rsid w:val="0038132D"/>
    <w:rsid w:val="003813DF"/>
    <w:rsid w:val="0038143A"/>
    <w:rsid w:val="0038148C"/>
    <w:rsid w:val="003814FB"/>
    <w:rsid w:val="00381542"/>
    <w:rsid w:val="003815CF"/>
    <w:rsid w:val="00381C0D"/>
    <w:rsid w:val="00381CEA"/>
    <w:rsid w:val="00381DC5"/>
    <w:rsid w:val="00381E02"/>
    <w:rsid w:val="00381E98"/>
    <w:rsid w:val="0038211E"/>
    <w:rsid w:val="0038222A"/>
    <w:rsid w:val="00382357"/>
    <w:rsid w:val="00382389"/>
    <w:rsid w:val="00382557"/>
    <w:rsid w:val="00382800"/>
    <w:rsid w:val="00382938"/>
    <w:rsid w:val="00382AAC"/>
    <w:rsid w:val="00382C61"/>
    <w:rsid w:val="00382D9B"/>
    <w:rsid w:val="00382E58"/>
    <w:rsid w:val="00383094"/>
    <w:rsid w:val="003831D3"/>
    <w:rsid w:val="00383798"/>
    <w:rsid w:val="0038390C"/>
    <w:rsid w:val="00383BE2"/>
    <w:rsid w:val="00384043"/>
    <w:rsid w:val="0038409C"/>
    <w:rsid w:val="003842A6"/>
    <w:rsid w:val="00384431"/>
    <w:rsid w:val="00384453"/>
    <w:rsid w:val="0038458B"/>
    <w:rsid w:val="003848B3"/>
    <w:rsid w:val="00384A77"/>
    <w:rsid w:val="00384BF0"/>
    <w:rsid w:val="00384E1D"/>
    <w:rsid w:val="00384E89"/>
    <w:rsid w:val="00384ECE"/>
    <w:rsid w:val="00384F33"/>
    <w:rsid w:val="00384FAC"/>
    <w:rsid w:val="00385052"/>
    <w:rsid w:val="003851C5"/>
    <w:rsid w:val="003851EA"/>
    <w:rsid w:val="003853EC"/>
    <w:rsid w:val="0038549E"/>
    <w:rsid w:val="003856BC"/>
    <w:rsid w:val="00385A32"/>
    <w:rsid w:val="00385E0C"/>
    <w:rsid w:val="00385E26"/>
    <w:rsid w:val="003861FD"/>
    <w:rsid w:val="0038628C"/>
    <w:rsid w:val="003862D2"/>
    <w:rsid w:val="00386327"/>
    <w:rsid w:val="0038639A"/>
    <w:rsid w:val="00386A43"/>
    <w:rsid w:val="00386AF0"/>
    <w:rsid w:val="00386C23"/>
    <w:rsid w:val="00387009"/>
    <w:rsid w:val="00387CB0"/>
    <w:rsid w:val="003902E3"/>
    <w:rsid w:val="0039037D"/>
    <w:rsid w:val="0039043C"/>
    <w:rsid w:val="0039085E"/>
    <w:rsid w:val="0039094D"/>
    <w:rsid w:val="00390AB2"/>
    <w:rsid w:val="00390C07"/>
    <w:rsid w:val="00390D62"/>
    <w:rsid w:val="00390D9D"/>
    <w:rsid w:val="003915A3"/>
    <w:rsid w:val="0039182B"/>
    <w:rsid w:val="00391B56"/>
    <w:rsid w:val="00391B6C"/>
    <w:rsid w:val="00391CD9"/>
    <w:rsid w:val="00391D33"/>
    <w:rsid w:val="00391E1C"/>
    <w:rsid w:val="00391EE3"/>
    <w:rsid w:val="00392079"/>
    <w:rsid w:val="00392089"/>
    <w:rsid w:val="003920FF"/>
    <w:rsid w:val="00392515"/>
    <w:rsid w:val="003925EC"/>
    <w:rsid w:val="003926C4"/>
    <w:rsid w:val="00392839"/>
    <w:rsid w:val="00392900"/>
    <w:rsid w:val="003929FC"/>
    <w:rsid w:val="00392AC4"/>
    <w:rsid w:val="00392B1E"/>
    <w:rsid w:val="00392C0F"/>
    <w:rsid w:val="00392D0D"/>
    <w:rsid w:val="00392DF0"/>
    <w:rsid w:val="00392F70"/>
    <w:rsid w:val="00393065"/>
    <w:rsid w:val="00393231"/>
    <w:rsid w:val="003932FA"/>
    <w:rsid w:val="003936FE"/>
    <w:rsid w:val="0039386A"/>
    <w:rsid w:val="00393A0B"/>
    <w:rsid w:val="00393A57"/>
    <w:rsid w:val="00393B03"/>
    <w:rsid w:val="00393F40"/>
    <w:rsid w:val="00394134"/>
    <w:rsid w:val="003941A9"/>
    <w:rsid w:val="003943B5"/>
    <w:rsid w:val="0039444C"/>
    <w:rsid w:val="003944C6"/>
    <w:rsid w:val="00394544"/>
    <w:rsid w:val="00394650"/>
    <w:rsid w:val="003946AF"/>
    <w:rsid w:val="00394C1F"/>
    <w:rsid w:val="00394D63"/>
    <w:rsid w:val="00394F72"/>
    <w:rsid w:val="00394F85"/>
    <w:rsid w:val="00395113"/>
    <w:rsid w:val="00395124"/>
    <w:rsid w:val="0039523C"/>
    <w:rsid w:val="00395726"/>
    <w:rsid w:val="00395792"/>
    <w:rsid w:val="00395969"/>
    <w:rsid w:val="00395A24"/>
    <w:rsid w:val="00395C08"/>
    <w:rsid w:val="00395E90"/>
    <w:rsid w:val="0039602D"/>
    <w:rsid w:val="0039610F"/>
    <w:rsid w:val="003961C9"/>
    <w:rsid w:val="003963A9"/>
    <w:rsid w:val="003963F7"/>
    <w:rsid w:val="0039660C"/>
    <w:rsid w:val="003966FC"/>
    <w:rsid w:val="0039679F"/>
    <w:rsid w:val="0039692A"/>
    <w:rsid w:val="00396965"/>
    <w:rsid w:val="00396C3A"/>
    <w:rsid w:val="00397390"/>
    <w:rsid w:val="003975CD"/>
    <w:rsid w:val="0039772A"/>
    <w:rsid w:val="00397778"/>
    <w:rsid w:val="00397986"/>
    <w:rsid w:val="00397A83"/>
    <w:rsid w:val="00397BAF"/>
    <w:rsid w:val="00397BDA"/>
    <w:rsid w:val="00397C29"/>
    <w:rsid w:val="00397F92"/>
    <w:rsid w:val="003A0076"/>
    <w:rsid w:val="003A0240"/>
    <w:rsid w:val="003A03D8"/>
    <w:rsid w:val="003A0490"/>
    <w:rsid w:val="003A0DC8"/>
    <w:rsid w:val="003A0E39"/>
    <w:rsid w:val="003A102A"/>
    <w:rsid w:val="003A1183"/>
    <w:rsid w:val="003A1267"/>
    <w:rsid w:val="003A1431"/>
    <w:rsid w:val="003A16DA"/>
    <w:rsid w:val="003A1763"/>
    <w:rsid w:val="003A1797"/>
    <w:rsid w:val="003A1EFC"/>
    <w:rsid w:val="003A2082"/>
    <w:rsid w:val="003A2289"/>
    <w:rsid w:val="003A23E6"/>
    <w:rsid w:val="003A269A"/>
    <w:rsid w:val="003A271A"/>
    <w:rsid w:val="003A2893"/>
    <w:rsid w:val="003A2A52"/>
    <w:rsid w:val="003A30B5"/>
    <w:rsid w:val="003A30C5"/>
    <w:rsid w:val="003A3472"/>
    <w:rsid w:val="003A35C5"/>
    <w:rsid w:val="003A3745"/>
    <w:rsid w:val="003A376A"/>
    <w:rsid w:val="003A37BC"/>
    <w:rsid w:val="003A3B7A"/>
    <w:rsid w:val="003A3C55"/>
    <w:rsid w:val="003A404B"/>
    <w:rsid w:val="003A4472"/>
    <w:rsid w:val="003A4AAC"/>
    <w:rsid w:val="003A4F35"/>
    <w:rsid w:val="003A4F49"/>
    <w:rsid w:val="003A50F7"/>
    <w:rsid w:val="003A54E5"/>
    <w:rsid w:val="003A5662"/>
    <w:rsid w:val="003A5675"/>
    <w:rsid w:val="003A585C"/>
    <w:rsid w:val="003A59B2"/>
    <w:rsid w:val="003A5BA2"/>
    <w:rsid w:val="003A5E65"/>
    <w:rsid w:val="003A60DB"/>
    <w:rsid w:val="003A615E"/>
    <w:rsid w:val="003A62AF"/>
    <w:rsid w:val="003A6367"/>
    <w:rsid w:val="003A640F"/>
    <w:rsid w:val="003A64EB"/>
    <w:rsid w:val="003A6729"/>
    <w:rsid w:val="003A68AB"/>
    <w:rsid w:val="003A69DE"/>
    <w:rsid w:val="003A6AB5"/>
    <w:rsid w:val="003A6EB4"/>
    <w:rsid w:val="003A6EE0"/>
    <w:rsid w:val="003A6F1C"/>
    <w:rsid w:val="003A6FEA"/>
    <w:rsid w:val="003A701E"/>
    <w:rsid w:val="003A71F0"/>
    <w:rsid w:val="003A7245"/>
    <w:rsid w:val="003A744D"/>
    <w:rsid w:val="003A77A3"/>
    <w:rsid w:val="003A7B95"/>
    <w:rsid w:val="003A7C5E"/>
    <w:rsid w:val="003A7C80"/>
    <w:rsid w:val="003A7FCC"/>
    <w:rsid w:val="003B0056"/>
    <w:rsid w:val="003B00A0"/>
    <w:rsid w:val="003B0207"/>
    <w:rsid w:val="003B0253"/>
    <w:rsid w:val="003B07D7"/>
    <w:rsid w:val="003B0881"/>
    <w:rsid w:val="003B08D4"/>
    <w:rsid w:val="003B09E0"/>
    <w:rsid w:val="003B0A0E"/>
    <w:rsid w:val="003B0A4A"/>
    <w:rsid w:val="003B0AA8"/>
    <w:rsid w:val="003B0D57"/>
    <w:rsid w:val="003B0DF5"/>
    <w:rsid w:val="003B0E94"/>
    <w:rsid w:val="003B0EE1"/>
    <w:rsid w:val="003B1011"/>
    <w:rsid w:val="003B1075"/>
    <w:rsid w:val="003B1396"/>
    <w:rsid w:val="003B16EB"/>
    <w:rsid w:val="003B191C"/>
    <w:rsid w:val="003B1A75"/>
    <w:rsid w:val="003B1C0A"/>
    <w:rsid w:val="003B1C5D"/>
    <w:rsid w:val="003B1D2D"/>
    <w:rsid w:val="003B1D8C"/>
    <w:rsid w:val="003B1DBE"/>
    <w:rsid w:val="003B1DCE"/>
    <w:rsid w:val="003B1E26"/>
    <w:rsid w:val="003B2046"/>
    <w:rsid w:val="003B2164"/>
    <w:rsid w:val="003B2353"/>
    <w:rsid w:val="003B23ED"/>
    <w:rsid w:val="003B24F6"/>
    <w:rsid w:val="003B25B8"/>
    <w:rsid w:val="003B2813"/>
    <w:rsid w:val="003B2C00"/>
    <w:rsid w:val="003B2D91"/>
    <w:rsid w:val="003B2E14"/>
    <w:rsid w:val="003B32AF"/>
    <w:rsid w:val="003B32EA"/>
    <w:rsid w:val="003B3325"/>
    <w:rsid w:val="003B33FF"/>
    <w:rsid w:val="003B3621"/>
    <w:rsid w:val="003B39D9"/>
    <w:rsid w:val="003B3A89"/>
    <w:rsid w:val="003B3D7F"/>
    <w:rsid w:val="003B3E02"/>
    <w:rsid w:val="003B4090"/>
    <w:rsid w:val="003B40A4"/>
    <w:rsid w:val="003B4232"/>
    <w:rsid w:val="003B45FD"/>
    <w:rsid w:val="003B46C6"/>
    <w:rsid w:val="003B471C"/>
    <w:rsid w:val="003B49BE"/>
    <w:rsid w:val="003B4B1B"/>
    <w:rsid w:val="003B4D54"/>
    <w:rsid w:val="003B4DB0"/>
    <w:rsid w:val="003B4EA2"/>
    <w:rsid w:val="003B4F12"/>
    <w:rsid w:val="003B4FD7"/>
    <w:rsid w:val="003B50EB"/>
    <w:rsid w:val="003B5262"/>
    <w:rsid w:val="003B52A2"/>
    <w:rsid w:val="003B52BC"/>
    <w:rsid w:val="003B5508"/>
    <w:rsid w:val="003B59AF"/>
    <w:rsid w:val="003B5DE1"/>
    <w:rsid w:val="003B5E74"/>
    <w:rsid w:val="003B5F25"/>
    <w:rsid w:val="003B6060"/>
    <w:rsid w:val="003B6108"/>
    <w:rsid w:val="003B6193"/>
    <w:rsid w:val="003B6263"/>
    <w:rsid w:val="003B6326"/>
    <w:rsid w:val="003B6512"/>
    <w:rsid w:val="003B663E"/>
    <w:rsid w:val="003B6704"/>
    <w:rsid w:val="003B6707"/>
    <w:rsid w:val="003B687D"/>
    <w:rsid w:val="003B6C0F"/>
    <w:rsid w:val="003B6C90"/>
    <w:rsid w:val="003B6D5D"/>
    <w:rsid w:val="003B6D93"/>
    <w:rsid w:val="003B6E1E"/>
    <w:rsid w:val="003B6E4D"/>
    <w:rsid w:val="003B6EB4"/>
    <w:rsid w:val="003B6F12"/>
    <w:rsid w:val="003B707F"/>
    <w:rsid w:val="003B7115"/>
    <w:rsid w:val="003B71F0"/>
    <w:rsid w:val="003B7233"/>
    <w:rsid w:val="003B72A1"/>
    <w:rsid w:val="003B72EA"/>
    <w:rsid w:val="003B732E"/>
    <w:rsid w:val="003B740C"/>
    <w:rsid w:val="003B74F1"/>
    <w:rsid w:val="003B7879"/>
    <w:rsid w:val="003B7BB9"/>
    <w:rsid w:val="003C0045"/>
    <w:rsid w:val="003C0208"/>
    <w:rsid w:val="003C02BC"/>
    <w:rsid w:val="003C040F"/>
    <w:rsid w:val="003C062B"/>
    <w:rsid w:val="003C072F"/>
    <w:rsid w:val="003C0976"/>
    <w:rsid w:val="003C0A89"/>
    <w:rsid w:val="003C0D27"/>
    <w:rsid w:val="003C0ECC"/>
    <w:rsid w:val="003C112E"/>
    <w:rsid w:val="003C11B8"/>
    <w:rsid w:val="003C1BB8"/>
    <w:rsid w:val="003C1D5A"/>
    <w:rsid w:val="003C1DA8"/>
    <w:rsid w:val="003C22E5"/>
    <w:rsid w:val="003C22FC"/>
    <w:rsid w:val="003C2565"/>
    <w:rsid w:val="003C2613"/>
    <w:rsid w:val="003C26C4"/>
    <w:rsid w:val="003C26CB"/>
    <w:rsid w:val="003C2704"/>
    <w:rsid w:val="003C2934"/>
    <w:rsid w:val="003C2A05"/>
    <w:rsid w:val="003C2A8D"/>
    <w:rsid w:val="003C2A9D"/>
    <w:rsid w:val="003C2CD9"/>
    <w:rsid w:val="003C3021"/>
    <w:rsid w:val="003C3116"/>
    <w:rsid w:val="003C3199"/>
    <w:rsid w:val="003C32B0"/>
    <w:rsid w:val="003C338E"/>
    <w:rsid w:val="003C350D"/>
    <w:rsid w:val="003C3612"/>
    <w:rsid w:val="003C3845"/>
    <w:rsid w:val="003C3B52"/>
    <w:rsid w:val="003C3D9C"/>
    <w:rsid w:val="003C3F5F"/>
    <w:rsid w:val="003C4234"/>
    <w:rsid w:val="003C4257"/>
    <w:rsid w:val="003C42CB"/>
    <w:rsid w:val="003C42F3"/>
    <w:rsid w:val="003C4381"/>
    <w:rsid w:val="003C43AE"/>
    <w:rsid w:val="003C4A02"/>
    <w:rsid w:val="003C5324"/>
    <w:rsid w:val="003C5533"/>
    <w:rsid w:val="003C55D4"/>
    <w:rsid w:val="003C56A8"/>
    <w:rsid w:val="003C56CE"/>
    <w:rsid w:val="003C56E2"/>
    <w:rsid w:val="003C5A7D"/>
    <w:rsid w:val="003C5AD0"/>
    <w:rsid w:val="003C5BB3"/>
    <w:rsid w:val="003C603A"/>
    <w:rsid w:val="003C6142"/>
    <w:rsid w:val="003C62CD"/>
    <w:rsid w:val="003C638D"/>
    <w:rsid w:val="003C63B3"/>
    <w:rsid w:val="003C64A1"/>
    <w:rsid w:val="003C64AA"/>
    <w:rsid w:val="003C64EC"/>
    <w:rsid w:val="003C693C"/>
    <w:rsid w:val="003C6B00"/>
    <w:rsid w:val="003C6B07"/>
    <w:rsid w:val="003C6CBE"/>
    <w:rsid w:val="003C6F1D"/>
    <w:rsid w:val="003C71E6"/>
    <w:rsid w:val="003C721C"/>
    <w:rsid w:val="003C7382"/>
    <w:rsid w:val="003C7557"/>
    <w:rsid w:val="003C7670"/>
    <w:rsid w:val="003C780E"/>
    <w:rsid w:val="003C79C8"/>
    <w:rsid w:val="003C7DAA"/>
    <w:rsid w:val="003C7E1C"/>
    <w:rsid w:val="003C7E6E"/>
    <w:rsid w:val="003C7EA0"/>
    <w:rsid w:val="003D00AB"/>
    <w:rsid w:val="003D0178"/>
    <w:rsid w:val="003D0298"/>
    <w:rsid w:val="003D04C6"/>
    <w:rsid w:val="003D068F"/>
    <w:rsid w:val="003D0833"/>
    <w:rsid w:val="003D08CA"/>
    <w:rsid w:val="003D0B6F"/>
    <w:rsid w:val="003D0DD3"/>
    <w:rsid w:val="003D0EC4"/>
    <w:rsid w:val="003D0ECD"/>
    <w:rsid w:val="003D1031"/>
    <w:rsid w:val="003D10FB"/>
    <w:rsid w:val="003D11F8"/>
    <w:rsid w:val="003D1292"/>
    <w:rsid w:val="003D12A5"/>
    <w:rsid w:val="003D12EC"/>
    <w:rsid w:val="003D132C"/>
    <w:rsid w:val="003D1540"/>
    <w:rsid w:val="003D1563"/>
    <w:rsid w:val="003D18E7"/>
    <w:rsid w:val="003D1A16"/>
    <w:rsid w:val="003D1ACD"/>
    <w:rsid w:val="003D2272"/>
    <w:rsid w:val="003D250B"/>
    <w:rsid w:val="003D2564"/>
    <w:rsid w:val="003D2812"/>
    <w:rsid w:val="003D28DF"/>
    <w:rsid w:val="003D294F"/>
    <w:rsid w:val="003D2B58"/>
    <w:rsid w:val="003D2C33"/>
    <w:rsid w:val="003D30C7"/>
    <w:rsid w:val="003D326A"/>
    <w:rsid w:val="003D34D9"/>
    <w:rsid w:val="003D3737"/>
    <w:rsid w:val="003D3918"/>
    <w:rsid w:val="003D399F"/>
    <w:rsid w:val="003D40AD"/>
    <w:rsid w:val="003D41E6"/>
    <w:rsid w:val="003D42A8"/>
    <w:rsid w:val="003D4359"/>
    <w:rsid w:val="003D462C"/>
    <w:rsid w:val="003D487A"/>
    <w:rsid w:val="003D48A4"/>
    <w:rsid w:val="003D48E5"/>
    <w:rsid w:val="003D4905"/>
    <w:rsid w:val="003D4B68"/>
    <w:rsid w:val="003D4D0E"/>
    <w:rsid w:val="003D4F6D"/>
    <w:rsid w:val="003D4F93"/>
    <w:rsid w:val="003D4FA4"/>
    <w:rsid w:val="003D51A9"/>
    <w:rsid w:val="003D540C"/>
    <w:rsid w:val="003D542A"/>
    <w:rsid w:val="003D55E2"/>
    <w:rsid w:val="003D5766"/>
    <w:rsid w:val="003D5AED"/>
    <w:rsid w:val="003D5B4A"/>
    <w:rsid w:val="003D5D04"/>
    <w:rsid w:val="003D5D68"/>
    <w:rsid w:val="003D5DAE"/>
    <w:rsid w:val="003D60F3"/>
    <w:rsid w:val="003D655B"/>
    <w:rsid w:val="003D6568"/>
    <w:rsid w:val="003D67C9"/>
    <w:rsid w:val="003D6A24"/>
    <w:rsid w:val="003D6F18"/>
    <w:rsid w:val="003D6FA8"/>
    <w:rsid w:val="003D7539"/>
    <w:rsid w:val="003D7678"/>
    <w:rsid w:val="003D76EF"/>
    <w:rsid w:val="003D77CD"/>
    <w:rsid w:val="003D7830"/>
    <w:rsid w:val="003D7967"/>
    <w:rsid w:val="003D7A9D"/>
    <w:rsid w:val="003D7E9E"/>
    <w:rsid w:val="003D7F8F"/>
    <w:rsid w:val="003E00F3"/>
    <w:rsid w:val="003E0119"/>
    <w:rsid w:val="003E01DA"/>
    <w:rsid w:val="003E0374"/>
    <w:rsid w:val="003E073C"/>
    <w:rsid w:val="003E080A"/>
    <w:rsid w:val="003E0BB3"/>
    <w:rsid w:val="003E0BCA"/>
    <w:rsid w:val="003E1107"/>
    <w:rsid w:val="003E1166"/>
    <w:rsid w:val="003E11AD"/>
    <w:rsid w:val="003E1247"/>
    <w:rsid w:val="003E126E"/>
    <w:rsid w:val="003E12F2"/>
    <w:rsid w:val="003E14CE"/>
    <w:rsid w:val="003E14EA"/>
    <w:rsid w:val="003E152E"/>
    <w:rsid w:val="003E16BD"/>
    <w:rsid w:val="003E1712"/>
    <w:rsid w:val="003E18E7"/>
    <w:rsid w:val="003E1C14"/>
    <w:rsid w:val="003E1D5B"/>
    <w:rsid w:val="003E1F34"/>
    <w:rsid w:val="003E225F"/>
    <w:rsid w:val="003E232B"/>
    <w:rsid w:val="003E2401"/>
    <w:rsid w:val="003E2B74"/>
    <w:rsid w:val="003E2C9F"/>
    <w:rsid w:val="003E2E04"/>
    <w:rsid w:val="003E2E7A"/>
    <w:rsid w:val="003E34A9"/>
    <w:rsid w:val="003E3742"/>
    <w:rsid w:val="003E3831"/>
    <w:rsid w:val="003E3A99"/>
    <w:rsid w:val="003E3C10"/>
    <w:rsid w:val="003E3D0D"/>
    <w:rsid w:val="003E3DD6"/>
    <w:rsid w:val="003E3E52"/>
    <w:rsid w:val="003E3EF7"/>
    <w:rsid w:val="003E3FF7"/>
    <w:rsid w:val="003E4210"/>
    <w:rsid w:val="003E444F"/>
    <w:rsid w:val="003E4483"/>
    <w:rsid w:val="003E452B"/>
    <w:rsid w:val="003E454D"/>
    <w:rsid w:val="003E45C3"/>
    <w:rsid w:val="003E4797"/>
    <w:rsid w:val="003E489B"/>
    <w:rsid w:val="003E4A05"/>
    <w:rsid w:val="003E4C83"/>
    <w:rsid w:val="003E4D54"/>
    <w:rsid w:val="003E4FAD"/>
    <w:rsid w:val="003E50B9"/>
    <w:rsid w:val="003E5176"/>
    <w:rsid w:val="003E5189"/>
    <w:rsid w:val="003E51FC"/>
    <w:rsid w:val="003E5228"/>
    <w:rsid w:val="003E5244"/>
    <w:rsid w:val="003E540A"/>
    <w:rsid w:val="003E5520"/>
    <w:rsid w:val="003E5701"/>
    <w:rsid w:val="003E5729"/>
    <w:rsid w:val="003E599A"/>
    <w:rsid w:val="003E5A6F"/>
    <w:rsid w:val="003E5B2B"/>
    <w:rsid w:val="003E5EB6"/>
    <w:rsid w:val="003E5FED"/>
    <w:rsid w:val="003E6002"/>
    <w:rsid w:val="003E613D"/>
    <w:rsid w:val="003E63D4"/>
    <w:rsid w:val="003E6528"/>
    <w:rsid w:val="003E65B2"/>
    <w:rsid w:val="003E6600"/>
    <w:rsid w:val="003E662D"/>
    <w:rsid w:val="003E6630"/>
    <w:rsid w:val="003E66EB"/>
    <w:rsid w:val="003E67D9"/>
    <w:rsid w:val="003E6860"/>
    <w:rsid w:val="003E693A"/>
    <w:rsid w:val="003E69A5"/>
    <w:rsid w:val="003E6CCB"/>
    <w:rsid w:val="003E7030"/>
    <w:rsid w:val="003E7276"/>
    <w:rsid w:val="003E7467"/>
    <w:rsid w:val="003E746F"/>
    <w:rsid w:val="003E74D4"/>
    <w:rsid w:val="003E761E"/>
    <w:rsid w:val="003E772D"/>
    <w:rsid w:val="003E7A04"/>
    <w:rsid w:val="003E7A5B"/>
    <w:rsid w:val="003E7CA6"/>
    <w:rsid w:val="003E7CF6"/>
    <w:rsid w:val="003E7D92"/>
    <w:rsid w:val="003E7E30"/>
    <w:rsid w:val="003E7EFF"/>
    <w:rsid w:val="003F05D8"/>
    <w:rsid w:val="003F06F0"/>
    <w:rsid w:val="003F0733"/>
    <w:rsid w:val="003F0DFD"/>
    <w:rsid w:val="003F1370"/>
    <w:rsid w:val="003F1456"/>
    <w:rsid w:val="003F152C"/>
    <w:rsid w:val="003F1783"/>
    <w:rsid w:val="003F19C3"/>
    <w:rsid w:val="003F1AD3"/>
    <w:rsid w:val="003F1ED7"/>
    <w:rsid w:val="003F1ED9"/>
    <w:rsid w:val="003F1EE6"/>
    <w:rsid w:val="003F2295"/>
    <w:rsid w:val="003F2789"/>
    <w:rsid w:val="003F2A26"/>
    <w:rsid w:val="003F2E1E"/>
    <w:rsid w:val="003F2F49"/>
    <w:rsid w:val="003F32CA"/>
    <w:rsid w:val="003F34C8"/>
    <w:rsid w:val="003F376C"/>
    <w:rsid w:val="003F3778"/>
    <w:rsid w:val="003F37C1"/>
    <w:rsid w:val="003F3928"/>
    <w:rsid w:val="003F396F"/>
    <w:rsid w:val="003F3973"/>
    <w:rsid w:val="003F3C6B"/>
    <w:rsid w:val="003F3C82"/>
    <w:rsid w:val="003F3D6B"/>
    <w:rsid w:val="003F40B3"/>
    <w:rsid w:val="003F4166"/>
    <w:rsid w:val="003F4390"/>
    <w:rsid w:val="003F44F9"/>
    <w:rsid w:val="003F4627"/>
    <w:rsid w:val="003F4905"/>
    <w:rsid w:val="003F49D3"/>
    <w:rsid w:val="003F4C06"/>
    <w:rsid w:val="003F4F8F"/>
    <w:rsid w:val="003F54B5"/>
    <w:rsid w:val="003F5624"/>
    <w:rsid w:val="003F5690"/>
    <w:rsid w:val="003F56E9"/>
    <w:rsid w:val="003F5798"/>
    <w:rsid w:val="003F57EA"/>
    <w:rsid w:val="003F581A"/>
    <w:rsid w:val="003F5837"/>
    <w:rsid w:val="003F584F"/>
    <w:rsid w:val="003F58C8"/>
    <w:rsid w:val="003F5AFC"/>
    <w:rsid w:val="003F5DC5"/>
    <w:rsid w:val="003F5E9F"/>
    <w:rsid w:val="003F5FCE"/>
    <w:rsid w:val="003F62FE"/>
    <w:rsid w:val="003F63DB"/>
    <w:rsid w:val="003F66AD"/>
    <w:rsid w:val="003F66D5"/>
    <w:rsid w:val="003F6B2E"/>
    <w:rsid w:val="003F6F14"/>
    <w:rsid w:val="003F7141"/>
    <w:rsid w:val="003F7219"/>
    <w:rsid w:val="003F7383"/>
    <w:rsid w:val="003F7566"/>
    <w:rsid w:val="003F76C7"/>
    <w:rsid w:val="003F76D9"/>
    <w:rsid w:val="003F777F"/>
    <w:rsid w:val="003F77FA"/>
    <w:rsid w:val="003F7908"/>
    <w:rsid w:val="003F7A60"/>
    <w:rsid w:val="003F7ACA"/>
    <w:rsid w:val="00400067"/>
    <w:rsid w:val="00400110"/>
    <w:rsid w:val="004001A9"/>
    <w:rsid w:val="0040030B"/>
    <w:rsid w:val="0040057C"/>
    <w:rsid w:val="004006C0"/>
    <w:rsid w:val="0040075B"/>
    <w:rsid w:val="00400B4C"/>
    <w:rsid w:val="00401166"/>
    <w:rsid w:val="0040119C"/>
    <w:rsid w:val="004011D2"/>
    <w:rsid w:val="004015FF"/>
    <w:rsid w:val="00401676"/>
    <w:rsid w:val="004016B1"/>
    <w:rsid w:val="004017F5"/>
    <w:rsid w:val="00401915"/>
    <w:rsid w:val="00401993"/>
    <w:rsid w:val="00401B68"/>
    <w:rsid w:val="00401C71"/>
    <w:rsid w:val="00401E35"/>
    <w:rsid w:val="00401F7D"/>
    <w:rsid w:val="00401F8D"/>
    <w:rsid w:val="00402691"/>
    <w:rsid w:val="00402749"/>
    <w:rsid w:val="004027BE"/>
    <w:rsid w:val="00402C67"/>
    <w:rsid w:val="00402DD1"/>
    <w:rsid w:val="00402E49"/>
    <w:rsid w:val="00403079"/>
    <w:rsid w:val="004033A5"/>
    <w:rsid w:val="004035AA"/>
    <w:rsid w:val="00403665"/>
    <w:rsid w:val="00403CE2"/>
    <w:rsid w:val="00404033"/>
    <w:rsid w:val="00404038"/>
    <w:rsid w:val="0040403A"/>
    <w:rsid w:val="004045CC"/>
    <w:rsid w:val="004046D4"/>
    <w:rsid w:val="00404725"/>
    <w:rsid w:val="00404D19"/>
    <w:rsid w:val="00404DD9"/>
    <w:rsid w:val="00404FE2"/>
    <w:rsid w:val="0040500E"/>
    <w:rsid w:val="004055BB"/>
    <w:rsid w:val="0040589A"/>
    <w:rsid w:val="00405F30"/>
    <w:rsid w:val="004061F9"/>
    <w:rsid w:val="004062EE"/>
    <w:rsid w:val="00406487"/>
    <w:rsid w:val="0040683B"/>
    <w:rsid w:val="00406917"/>
    <w:rsid w:val="004069E9"/>
    <w:rsid w:val="00406C0E"/>
    <w:rsid w:val="00406F8D"/>
    <w:rsid w:val="00406FA4"/>
    <w:rsid w:val="00406FFA"/>
    <w:rsid w:val="0040708C"/>
    <w:rsid w:val="00407224"/>
    <w:rsid w:val="0040728D"/>
    <w:rsid w:val="0040782F"/>
    <w:rsid w:val="00407926"/>
    <w:rsid w:val="004079B9"/>
    <w:rsid w:val="00407A05"/>
    <w:rsid w:val="00407A45"/>
    <w:rsid w:val="00407B42"/>
    <w:rsid w:val="00407E8B"/>
    <w:rsid w:val="00407ECD"/>
    <w:rsid w:val="00410252"/>
    <w:rsid w:val="004103E5"/>
    <w:rsid w:val="00410909"/>
    <w:rsid w:val="00410A8F"/>
    <w:rsid w:val="00410B33"/>
    <w:rsid w:val="00410B9B"/>
    <w:rsid w:val="00410BA5"/>
    <w:rsid w:val="00410C80"/>
    <w:rsid w:val="00410D21"/>
    <w:rsid w:val="00410E66"/>
    <w:rsid w:val="00410F5D"/>
    <w:rsid w:val="0041136D"/>
    <w:rsid w:val="004115A3"/>
    <w:rsid w:val="0041190B"/>
    <w:rsid w:val="0041196C"/>
    <w:rsid w:val="004119B1"/>
    <w:rsid w:val="00411B46"/>
    <w:rsid w:val="00411C1E"/>
    <w:rsid w:val="00411E00"/>
    <w:rsid w:val="004120C9"/>
    <w:rsid w:val="00412343"/>
    <w:rsid w:val="0041237D"/>
    <w:rsid w:val="00412402"/>
    <w:rsid w:val="00412408"/>
    <w:rsid w:val="00412C51"/>
    <w:rsid w:val="00412C7C"/>
    <w:rsid w:val="00412DFE"/>
    <w:rsid w:val="00412FDC"/>
    <w:rsid w:val="0041311D"/>
    <w:rsid w:val="0041327D"/>
    <w:rsid w:val="0041339B"/>
    <w:rsid w:val="00413496"/>
    <w:rsid w:val="00413689"/>
    <w:rsid w:val="00413796"/>
    <w:rsid w:val="00413B22"/>
    <w:rsid w:val="00413BAF"/>
    <w:rsid w:val="00413D50"/>
    <w:rsid w:val="00413E51"/>
    <w:rsid w:val="004140FB"/>
    <w:rsid w:val="00414183"/>
    <w:rsid w:val="00414A35"/>
    <w:rsid w:val="004150CB"/>
    <w:rsid w:val="004150DA"/>
    <w:rsid w:val="004150DF"/>
    <w:rsid w:val="0041514F"/>
    <w:rsid w:val="00415203"/>
    <w:rsid w:val="0041526A"/>
    <w:rsid w:val="00415A33"/>
    <w:rsid w:val="00415E38"/>
    <w:rsid w:val="00415EF7"/>
    <w:rsid w:val="00415F63"/>
    <w:rsid w:val="004160C4"/>
    <w:rsid w:val="004163B2"/>
    <w:rsid w:val="00416652"/>
    <w:rsid w:val="0041667B"/>
    <w:rsid w:val="004167DE"/>
    <w:rsid w:val="00416946"/>
    <w:rsid w:val="00416A38"/>
    <w:rsid w:val="00416B37"/>
    <w:rsid w:val="00416E8F"/>
    <w:rsid w:val="00416FCD"/>
    <w:rsid w:val="00417248"/>
    <w:rsid w:val="00417290"/>
    <w:rsid w:val="004175BA"/>
    <w:rsid w:val="00417989"/>
    <w:rsid w:val="004179FD"/>
    <w:rsid w:val="00417CAA"/>
    <w:rsid w:val="00417D59"/>
    <w:rsid w:val="00417D7B"/>
    <w:rsid w:val="00417EB8"/>
    <w:rsid w:val="00420127"/>
    <w:rsid w:val="0042026E"/>
    <w:rsid w:val="004205DE"/>
    <w:rsid w:val="00420773"/>
    <w:rsid w:val="004208DA"/>
    <w:rsid w:val="00420C46"/>
    <w:rsid w:val="00420CF8"/>
    <w:rsid w:val="00420DA2"/>
    <w:rsid w:val="00420E15"/>
    <w:rsid w:val="00421330"/>
    <w:rsid w:val="00421604"/>
    <w:rsid w:val="00421846"/>
    <w:rsid w:val="0042191C"/>
    <w:rsid w:val="00421A6C"/>
    <w:rsid w:val="00421AEC"/>
    <w:rsid w:val="00421C69"/>
    <w:rsid w:val="00421EFF"/>
    <w:rsid w:val="00422492"/>
    <w:rsid w:val="0042259C"/>
    <w:rsid w:val="004225CD"/>
    <w:rsid w:val="0042261A"/>
    <w:rsid w:val="0042263E"/>
    <w:rsid w:val="0042270A"/>
    <w:rsid w:val="004227E0"/>
    <w:rsid w:val="00422961"/>
    <w:rsid w:val="00422C88"/>
    <w:rsid w:val="00422E15"/>
    <w:rsid w:val="00423140"/>
    <w:rsid w:val="0042351C"/>
    <w:rsid w:val="0042396F"/>
    <w:rsid w:val="00423A7C"/>
    <w:rsid w:val="00423D08"/>
    <w:rsid w:val="00423EDF"/>
    <w:rsid w:val="00423F0A"/>
    <w:rsid w:val="00423FB0"/>
    <w:rsid w:val="00424129"/>
    <w:rsid w:val="004243C1"/>
    <w:rsid w:val="0042449B"/>
    <w:rsid w:val="0042493A"/>
    <w:rsid w:val="00424CD7"/>
    <w:rsid w:val="00424D4E"/>
    <w:rsid w:val="00424D58"/>
    <w:rsid w:val="00424D89"/>
    <w:rsid w:val="00424E4B"/>
    <w:rsid w:val="00424EED"/>
    <w:rsid w:val="0042502E"/>
    <w:rsid w:val="0042520B"/>
    <w:rsid w:val="0042521B"/>
    <w:rsid w:val="00425452"/>
    <w:rsid w:val="0042551E"/>
    <w:rsid w:val="00425551"/>
    <w:rsid w:val="004258D8"/>
    <w:rsid w:val="0042597E"/>
    <w:rsid w:val="00425BC9"/>
    <w:rsid w:val="00425F73"/>
    <w:rsid w:val="00426063"/>
    <w:rsid w:val="00426282"/>
    <w:rsid w:val="00426402"/>
    <w:rsid w:val="00426686"/>
    <w:rsid w:val="004267A0"/>
    <w:rsid w:val="004270C9"/>
    <w:rsid w:val="004275E8"/>
    <w:rsid w:val="004277FE"/>
    <w:rsid w:val="004278F7"/>
    <w:rsid w:val="00427B5C"/>
    <w:rsid w:val="00427B67"/>
    <w:rsid w:val="00427FA5"/>
    <w:rsid w:val="00430294"/>
    <w:rsid w:val="004305BF"/>
    <w:rsid w:val="004307D7"/>
    <w:rsid w:val="00430890"/>
    <w:rsid w:val="004308FF"/>
    <w:rsid w:val="00430969"/>
    <w:rsid w:val="00430A7D"/>
    <w:rsid w:val="00430C2B"/>
    <w:rsid w:val="00430FD1"/>
    <w:rsid w:val="00430FF0"/>
    <w:rsid w:val="0043109E"/>
    <w:rsid w:val="0043141A"/>
    <w:rsid w:val="0043141D"/>
    <w:rsid w:val="004314F4"/>
    <w:rsid w:val="00431590"/>
    <w:rsid w:val="00431606"/>
    <w:rsid w:val="00431802"/>
    <w:rsid w:val="00431A2F"/>
    <w:rsid w:val="00431AE0"/>
    <w:rsid w:val="00431C1A"/>
    <w:rsid w:val="00431D71"/>
    <w:rsid w:val="00431F2B"/>
    <w:rsid w:val="00431F4C"/>
    <w:rsid w:val="00431F5E"/>
    <w:rsid w:val="004320B5"/>
    <w:rsid w:val="004322A9"/>
    <w:rsid w:val="00432476"/>
    <w:rsid w:val="00432749"/>
    <w:rsid w:val="0043275C"/>
    <w:rsid w:val="004328F9"/>
    <w:rsid w:val="0043298C"/>
    <w:rsid w:val="00432ABA"/>
    <w:rsid w:val="00432AD4"/>
    <w:rsid w:val="00432AD5"/>
    <w:rsid w:val="00432C5C"/>
    <w:rsid w:val="00432C6B"/>
    <w:rsid w:val="00432E13"/>
    <w:rsid w:val="00432F94"/>
    <w:rsid w:val="0043304E"/>
    <w:rsid w:val="004331DF"/>
    <w:rsid w:val="0043320B"/>
    <w:rsid w:val="00433582"/>
    <w:rsid w:val="004337ED"/>
    <w:rsid w:val="00433866"/>
    <w:rsid w:val="00433BF6"/>
    <w:rsid w:val="00433C41"/>
    <w:rsid w:val="00433E45"/>
    <w:rsid w:val="00433F94"/>
    <w:rsid w:val="004340BD"/>
    <w:rsid w:val="00434234"/>
    <w:rsid w:val="004342F1"/>
    <w:rsid w:val="004342F4"/>
    <w:rsid w:val="0043476E"/>
    <w:rsid w:val="00434832"/>
    <w:rsid w:val="00434E03"/>
    <w:rsid w:val="00434EF1"/>
    <w:rsid w:val="00435263"/>
    <w:rsid w:val="00435272"/>
    <w:rsid w:val="00435AA4"/>
    <w:rsid w:val="00435B5C"/>
    <w:rsid w:val="00435BC1"/>
    <w:rsid w:val="00435E09"/>
    <w:rsid w:val="00435E4A"/>
    <w:rsid w:val="00436201"/>
    <w:rsid w:val="0043629C"/>
    <w:rsid w:val="0043630A"/>
    <w:rsid w:val="004363FF"/>
    <w:rsid w:val="00436D13"/>
    <w:rsid w:val="00436DF6"/>
    <w:rsid w:val="00437369"/>
    <w:rsid w:val="00437389"/>
    <w:rsid w:val="00437478"/>
    <w:rsid w:val="004374DC"/>
    <w:rsid w:val="004379C7"/>
    <w:rsid w:val="00437A28"/>
    <w:rsid w:val="00437A2F"/>
    <w:rsid w:val="00437A86"/>
    <w:rsid w:val="00437BE7"/>
    <w:rsid w:val="00437C76"/>
    <w:rsid w:val="00437C7E"/>
    <w:rsid w:val="00437D93"/>
    <w:rsid w:val="00437EFB"/>
    <w:rsid w:val="00437F68"/>
    <w:rsid w:val="00440127"/>
    <w:rsid w:val="00440160"/>
    <w:rsid w:val="00440269"/>
    <w:rsid w:val="00440710"/>
    <w:rsid w:val="004407BB"/>
    <w:rsid w:val="004409CD"/>
    <w:rsid w:val="00440D46"/>
    <w:rsid w:val="00440DD5"/>
    <w:rsid w:val="00440DF0"/>
    <w:rsid w:val="00440EE7"/>
    <w:rsid w:val="0044115D"/>
    <w:rsid w:val="00441894"/>
    <w:rsid w:val="00441BBA"/>
    <w:rsid w:val="004420C9"/>
    <w:rsid w:val="004421AC"/>
    <w:rsid w:val="00442819"/>
    <w:rsid w:val="00442857"/>
    <w:rsid w:val="00442939"/>
    <w:rsid w:val="00442AA2"/>
    <w:rsid w:val="00442C72"/>
    <w:rsid w:val="00442CFA"/>
    <w:rsid w:val="00443105"/>
    <w:rsid w:val="00443160"/>
    <w:rsid w:val="0044319C"/>
    <w:rsid w:val="0044360F"/>
    <w:rsid w:val="0044387A"/>
    <w:rsid w:val="004439B6"/>
    <w:rsid w:val="00443AFF"/>
    <w:rsid w:val="00443D1F"/>
    <w:rsid w:val="00443D65"/>
    <w:rsid w:val="00443D8D"/>
    <w:rsid w:val="00443EE0"/>
    <w:rsid w:val="0044406A"/>
    <w:rsid w:val="0044427C"/>
    <w:rsid w:val="00444291"/>
    <w:rsid w:val="004444C1"/>
    <w:rsid w:val="00444687"/>
    <w:rsid w:val="0044478D"/>
    <w:rsid w:val="0044479E"/>
    <w:rsid w:val="00444BB5"/>
    <w:rsid w:val="00444BCC"/>
    <w:rsid w:val="00444CBB"/>
    <w:rsid w:val="00444D96"/>
    <w:rsid w:val="00444DF0"/>
    <w:rsid w:val="0044500B"/>
    <w:rsid w:val="0044509F"/>
    <w:rsid w:val="004451C4"/>
    <w:rsid w:val="0044539F"/>
    <w:rsid w:val="0044545F"/>
    <w:rsid w:val="00445464"/>
    <w:rsid w:val="0044566C"/>
    <w:rsid w:val="00445B78"/>
    <w:rsid w:val="00445FDC"/>
    <w:rsid w:val="00446084"/>
    <w:rsid w:val="004461A4"/>
    <w:rsid w:val="0044633C"/>
    <w:rsid w:val="004463C1"/>
    <w:rsid w:val="004464E3"/>
    <w:rsid w:val="0044659B"/>
    <w:rsid w:val="004465C1"/>
    <w:rsid w:val="004467C0"/>
    <w:rsid w:val="004468BC"/>
    <w:rsid w:val="004468CE"/>
    <w:rsid w:val="00446D04"/>
    <w:rsid w:val="00446E96"/>
    <w:rsid w:val="0044717A"/>
    <w:rsid w:val="00447269"/>
    <w:rsid w:val="004474AF"/>
    <w:rsid w:val="00447737"/>
    <w:rsid w:val="00447759"/>
    <w:rsid w:val="00447C6B"/>
    <w:rsid w:val="00450240"/>
    <w:rsid w:val="004502A0"/>
    <w:rsid w:val="0045049B"/>
    <w:rsid w:val="004504E7"/>
    <w:rsid w:val="004507E3"/>
    <w:rsid w:val="00450C03"/>
    <w:rsid w:val="00451063"/>
    <w:rsid w:val="0045118E"/>
    <w:rsid w:val="004512CA"/>
    <w:rsid w:val="0045131A"/>
    <w:rsid w:val="004513AC"/>
    <w:rsid w:val="00451534"/>
    <w:rsid w:val="00451733"/>
    <w:rsid w:val="004517CE"/>
    <w:rsid w:val="00451F4B"/>
    <w:rsid w:val="00451FA1"/>
    <w:rsid w:val="00452064"/>
    <w:rsid w:val="00452241"/>
    <w:rsid w:val="004522B0"/>
    <w:rsid w:val="00452353"/>
    <w:rsid w:val="0045277B"/>
    <w:rsid w:val="0045287E"/>
    <w:rsid w:val="004528F6"/>
    <w:rsid w:val="00452AE4"/>
    <w:rsid w:val="00452D18"/>
    <w:rsid w:val="00452E42"/>
    <w:rsid w:val="00452F48"/>
    <w:rsid w:val="004530DF"/>
    <w:rsid w:val="004532FE"/>
    <w:rsid w:val="0045336B"/>
    <w:rsid w:val="004533F1"/>
    <w:rsid w:val="00453469"/>
    <w:rsid w:val="004534DD"/>
    <w:rsid w:val="004536FF"/>
    <w:rsid w:val="0045385C"/>
    <w:rsid w:val="00453964"/>
    <w:rsid w:val="00453968"/>
    <w:rsid w:val="00453CD1"/>
    <w:rsid w:val="00453DAA"/>
    <w:rsid w:val="00453EF9"/>
    <w:rsid w:val="00453F04"/>
    <w:rsid w:val="00454093"/>
    <w:rsid w:val="004542B5"/>
    <w:rsid w:val="004542F6"/>
    <w:rsid w:val="00454484"/>
    <w:rsid w:val="00454550"/>
    <w:rsid w:val="00454573"/>
    <w:rsid w:val="0045467C"/>
    <w:rsid w:val="00454722"/>
    <w:rsid w:val="004548A4"/>
    <w:rsid w:val="0045490F"/>
    <w:rsid w:val="004549EE"/>
    <w:rsid w:val="00454D3A"/>
    <w:rsid w:val="00454E21"/>
    <w:rsid w:val="00455010"/>
    <w:rsid w:val="004550D0"/>
    <w:rsid w:val="0045511F"/>
    <w:rsid w:val="004551BC"/>
    <w:rsid w:val="004551DD"/>
    <w:rsid w:val="004552CD"/>
    <w:rsid w:val="004553BF"/>
    <w:rsid w:val="004556CD"/>
    <w:rsid w:val="004558FF"/>
    <w:rsid w:val="00455BD7"/>
    <w:rsid w:val="00455C50"/>
    <w:rsid w:val="00455FC9"/>
    <w:rsid w:val="00455FD9"/>
    <w:rsid w:val="00456082"/>
    <w:rsid w:val="00456162"/>
    <w:rsid w:val="00456212"/>
    <w:rsid w:val="00456447"/>
    <w:rsid w:val="004565B6"/>
    <w:rsid w:val="00456635"/>
    <w:rsid w:val="004569E3"/>
    <w:rsid w:val="00456A5E"/>
    <w:rsid w:val="00456EC4"/>
    <w:rsid w:val="00456F00"/>
    <w:rsid w:val="00456F04"/>
    <w:rsid w:val="00456F8E"/>
    <w:rsid w:val="00456FEC"/>
    <w:rsid w:val="004570E8"/>
    <w:rsid w:val="004570F4"/>
    <w:rsid w:val="004572E3"/>
    <w:rsid w:val="00457896"/>
    <w:rsid w:val="004578B9"/>
    <w:rsid w:val="0045796A"/>
    <w:rsid w:val="00457B82"/>
    <w:rsid w:val="00457FF6"/>
    <w:rsid w:val="0046001B"/>
    <w:rsid w:val="00460062"/>
    <w:rsid w:val="00460458"/>
    <w:rsid w:val="004604EE"/>
    <w:rsid w:val="00460563"/>
    <w:rsid w:val="004606A6"/>
    <w:rsid w:val="00460775"/>
    <w:rsid w:val="00460839"/>
    <w:rsid w:val="0046086B"/>
    <w:rsid w:val="00460887"/>
    <w:rsid w:val="00460B81"/>
    <w:rsid w:val="00460BC1"/>
    <w:rsid w:val="00460BEA"/>
    <w:rsid w:val="00460C4F"/>
    <w:rsid w:val="00460D0D"/>
    <w:rsid w:val="004611A0"/>
    <w:rsid w:val="0046130B"/>
    <w:rsid w:val="00461359"/>
    <w:rsid w:val="004616AB"/>
    <w:rsid w:val="004617D9"/>
    <w:rsid w:val="00461866"/>
    <w:rsid w:val="00461B15"/>
    <w:rsid w:val="00461D4E"/>
    <w:rsid w:val="00461FA8"/>
    <w:rsid w:val="0046203B"/>
    <w:rsid w:val="00462658"/>
    <w:rsid w:val="0046269A"/>
    <w:rsid w:val="0046282E"/>
    <w:rsid w:val="004628E4"/>
    <w:rsid w:val="00462D5B"/>
    <w:rsid w:val="00462EA3"/>
    <w:rsid w:val="00463212"/>
    <w:rsid w:val="00463795"/>
    <w:rsid w:val="0046396B"/>
    <w:rsid w:val="00463A98"/>
    <w:rsid w:val="00464183"/>
    <w:rsid w:val="00464291"/>
    <w:rsid w:val="004645C7"/>
    <w:rsid w:val="004649A6"/>
    <w:rsid w:val="00464FFC"/>
    <w:rsid w:val="00465841"/>
    <w:rsid w:val="00465877"/>
    <w:rsid w:val="00465996"/>
    <w:rsid w:val="00465BAB"/>
    <w:rsid w:val="00465DDB"/>
    <w:rsid w:val="00465EF8"/>
    <w:rsid w:val="00466177"/>
    <w:rsid w:val="004662E2"/>
    <w:rsid w:val="004663C9"/>
    <w:rsid w:val="004665D5"/>
    <w:rsid w:val="00466DFF"/>
    <w:rsid w:val="00466E67"/>
    <w:rsid w:val="0046708F"/>
    <w:rsid w:val="0046714E"/>
    <w:rsid w:val="00467251"/>
    <w:rsid w:val="00467457"/>
    <w:rsid w:val="0046755E"/>
    <w:rsid w:val="00467831"/>
    <w:rsid w:val="00467A53"/>
    <w:rsid w:val="00467AE6"/>
    <w:rsid w:val="00467B07"/>
    <w:rsid w:val="00467B36"/>
    <w:rsid w:val="00467D29"/>
    <w:rsid w:val="00467FEB"/>
    <w:rsid w:val="004700AE"/>
    <w:rsid w:val="00470150"/>
    <w:rsid w:val="00470247"/>
    <w:rsid w:val="00470249"/>
    <w:rsid w:val="004702BC"/>
    <w:rsid w:val="004702E1"/>
    <w:rsid w:val="0047031A"/>
    <w:rsid w:val="00470363"/>
    <w:rsid w:val="00470764"/>
    <w:rsid w:val="004707BB"/>
    <w:rsid w:val="0047082F"/>
    <w:rsid w:val="00470AE0"/>
    <w:rsid w:val="00470F0C"/>
    <w:rsid w:val="0047105F"/>
    <w:rsid w:val="00471195"/>
    <w:rsid w:val="00471271"/>
    <w:rsid w:val="00471324"/>
    <w:rsid w:val="00471450"/>
    <w:rsid w:val="00471511"/>
    <w:rsid w:val="00471695"/>
    <w:rsid w:val="00471D58"/>
    <w:rsid w:val="00471E68"/>
    <w:rsid w:val="0047211E"/>
    <w:rsid w:val="00472275"/>
    <w:rsid w:val="0047268E"/>
    <w:rsid w:val="00472701"/>
    <w:rsid w:val="00472804"/>
    <w:rsid w:val="004728E1"/>
    <w:rsid w:val="00472945"/>
    <w:rsid w:val="0047299E"/>
    <w:rsid w:val="004729FA"/>
    <w:rsid w:val="00472A75"/>
    <w:rsid w:val="00472A7C"/>
    <w:rsid w:val="004730ED"/>
    <w:rsid w:val="004732AD"/>
    <w:rsid w:val="00473319"/>
    <w:rsid w:val="004734C9"/>
    <w:rsid w:val="00473569"/>
    <w:rsid w:val="004737E9"/>
    <w:rsid w:val="004739D9"/>
    <w:rsid w:val="00473BE1"/>
    <w:rsid w:val="00473CD5"/>
    <w:rsid w:val="00474183"/>
    <w:rsid w:val="004741F1"/>
    <w:rsid w:val="00474536"/>
    <w:rsid w:val="00474601"/>
    <w:rsid w:val="004746BF"/>
    <w:rsid w:val="0047498F"/>
    <w:rsid w:val="00474A4F"/>
    <w:rsid w:val="00474AE1"/>
    <w:rsid w:val="00474C43"/>
    <w:rsid w:val="00474C5C"/>
    <w:rsid w:val="00474D11"/>
    <w:rsid w:val="00474E51"/>
    <w:rsid w:val="0047544C"/>
    <w:rsid w:val="004755E6"/>
    <w:rsid w:val="00475672"/>
    <w:rsid w:val="0047597C"/>
    <w:rsid w:val="00475A0F"/>
    <w:rsid w:val="00475CD4"/>
    <w:rsid w:val="00476031"/>
    <w:rsid w:val="004760EF"/>
    <w:rsid w:val="00476179"/>
    <w:rsid w:val="004761A6"/>
    <w:rsid w:val="00476352"/>
    <w:rsid w:val="0047655B"/>
    <w:rsid w:val="00476627"/>
    <w:rsid w:val="0047677E"/>
    <w:rsid w:val="004767F2"/>
    <w:rsid w:val="004768CF"/>
    <w:rsid w:val="00476B66"/>
    <w:rsid w:val="00476B9E"/>
    <w:rsid w:val="00476CFB"/>
    <w:rsid w:val="00476DCC"/>
    <w:rsid w:val="00476EB3"/>
    <w:rsid w:val="00476FCA"/>
    <w:rsid w:val="00477599"/>
    <w:rsid w:val="004776F2"/>
    <w:rsid w:val="0047770E"/>
    <w:rsid w:val="004778DA"/>
    <w:rsid w:val="00477924"/>
    <w:rsid w:val="00477AA2"/>
    <w:rsid w:val="00477D86"/>
    <w:rsid w:val="00477F19"/>
    <w:rsid w:val="004800AF"/>
    <w:rsid w:val="004802DF"/>
    <w:rsid w:val="00480704"/>
    <w:rsid w:val="0048082C"/>
    <w:rsid w:val="00480877"/>
    <w:rsid w:val="004809BD"/>
    <w:rsid w:val="00480A0A"/>
    <w:rsid w:val="00480A73"/>
    <w:rsid w:val="00480BAB"/>
    <w:rsid w:val="00480DD6"/>
    <w:rsid w:val="00480F5A"/>
    <w:rsid w:val="004811A2"/>
    <w:rsid w:val="004814AA"/>
    <w:rsid w:val="0048186F"/>
    <w:rsid w:val="00481895"/>
    <w:rsid w:val="00481A46"/>
    <w:rsid w:val="00481D91"/>
    <w:rsid w:val="00481F1D"/>
    <w:rsid w:val="00481FD3"/>
    <w:rsid w:val="00482098"/>
    <w:rsid w:val="00482126"/>
    <w:rsid w:val="00482315"/>
    <w:rsid w:val="00482371"/>
    <w:rsid w:val="00482527"/>
    <w:rsid w:val="0048257E"/>
    <w:rsid w:val="004825AB"/>
    <w:rsid w:val="00482688"/>
    <w:rsid w:val="00482767"/>
    <w:rsid w:val="00482A85"/>
    <w:rsid w:val="00482BCB"/>
    <w:rsid w:val="00482C5F"/>
    <w:rsid w:val="004830B8"/>
    <w:rsid w:val="00483217"/>
    <w:rsid w:val="00483247"/>
    <w:rsid w:val="004833D6"/>
    <w:rsid w:val="00483AB6"/>
    <w:rsid w:val="00483C92"/>
    <w:rsid w:val="00483D1B"/>
    <w:rsid w:val="00483DBB"/>
    <w:rsid w:val="00484088"/>
    <w:rsid w:val="00484252"/>
    <w:rsid w:val="00484716"/>
    <w:rsid w:val="0048480F"/>
    <w:rsid w:val="004849F1"/>
    <w:rsid w:val="00484AA6"/>
    <w:rsid w:val="00484C11"/>
    <w:rsid w:val="00484C78"/>
    <w:rsid w:val="00484D67"/>
    <w:rsid w:val="00484E55"/>
    <w:rsid w:val="00484F35"/>
    <w:rsid w:val="00484F7C"/>
    <w:rsid w:val="0048506D"/>
    <w:rsid w:val="0048521D"/>
    <w:rsid w:val="00485265"/>
    <w:rsid w:val="004854C7"/>
    <w:rsid w:val="004856AC"/>
    <w:rsid w:val="004859F7"/>
    <w:rsid w:val="00485ABC"/>
    <w:rsid w:val="00485C0A"/>
    <w:rsid w:val="0048612A"/>
    <w:rsid w:val="004861E6"/>
    <w:rsid w:val="004865C5"/>
    <w:rsid w:val="00486891"/>
    <w:rsid w:val="00486934"/>
    <w:rsid w:val="0048698D"/>
    <w:rsid w:val="00486B7A"/>
    <w:rsid w:val="00486BF9"/>
    <w:rsid w:val="00486F9A"/>
    <w:rsid w:val="00487158"/>
    <w:rsid w:val="004871C6"/>
    <w:rsid w:val="00487208"/>
    <w:rsid w:val="0048732C"/>
    <w:rsid w:val="0048734E"/>
    <w:rsid w:val="00487386"/>
    <w:rsid w:val="004873C0"/>
    <w:rsid w:val="004875AF"/>
    <w:rsid w:val="004876E7"/>
    <w:rsid w:val="004877C5"/>
    <w:rsid w:val="0048785D"/>
    <w:rsid w:val="00487907"/>
    <w:rsid w:val="00487A05"/>
    <w:rsid w:val="00487BF3"/>
    <w:rsid w:val="00487E69"/>
    <w:rsid w:val="004901F4"/>
    <w:rsid w:val="004905AF"/>
    <w:rsid w:val="00490652"/>
    <w:rsid w:val="0049066A"/>
    <w:rsid w:val="00490A4A"/>
    <w:rsid w:val="00490A9C"/>
    <w:rsid w:val="00490E34"/>
    <w:rsid w:val="00491032"/>
    <w:rsid w:val="00491270"/>
    <w:rsid w:val="00491796"/>
    <w:rsid w:val="0049194D"/>
    <w:rsid w:val="00491967"/>
    <w:rsid w:val="00491988"/>
    <w:rsid w:val="00491AA1"/>
    <w:rsid w:val="00491AEB"/>
    <w:rsid w:val="00491DAB"/>
    <w:rsid w:val="004920FB"/>
    <w:rsid w:val="0049211D"/>
    <w:rsid w:val="0049220F"/>
    <w:rsid w:val="004922D3"/>
    <w:rsid w:val="004924C6"/>
    <w:rsid w:val="004926BB"/>
    <w:rsid w:val="00492835"/>
    <w:rsid w:val="00492981"/>
    <w:rsid w:val="00492BE1"/>
    <w:rsid w:val="00492CC7"/>
    <w:rsid w:val="0049309C"/>
    <w:rsid w:val="0049334F"/>
    <w:rsid w:val="00493645"/>
    <w:rsid w:val="00493D47"/>
    <w:rsid w:val="00493DF7"/>
    <w:rsid w:val="00493EA0"/>
    <w:rsid w:val="00493EE2"/>
    <w:rsid w:val="0049419B"/>
    <w:rsid w:val="004941C6"/>
    <w:rsid w:val="0049427A"/>
    <w:rsid w:val="0049435A"/>
    <w:rsid w:val="0049467A"/>
    <w:rsid w:val="004948AB"/>
    <w:rsid w:val="00494980"/>
    <w:rsid w:val="00494AA0"/>
    <w:rsid w:val="00494ED9"/>
    <w:rsid w:val="0049501D"/>
    <w:rsid w:val="004953D6"/>
    <w:rsid w:val="00495510"/>
    <w:rsid w:val="00495BFB"/>
    <w:rsid w:val="00495C3E"/>
    <w:rsid w:val="00495CB0"/>
    <w:rsid w:val="00495CCD"/>
    <w:rsid w:val="0049605A"/>
    <w:rsid w:val="004966C2"/>
    <w:rsid w:val="004968AB"/>
    <w:rsid w:val="0049694B"/>
    <w:rsid w:val="00496F5D"/>
    <w:rsid w:val="00496F92"/>
    <w:rsid w:val="0049725F"/>
    <w:rsid w:val="0049752B"/>
    <w:rsid w:val="00497617"/>
    <w:rsid w:val="0049767B"/>
    <w:rsid w:val="00497A4B"/>
    <w:rsid w:val="00497A57"/>
    <w:rsid w:val="00497A71"/>
    <w:rsid w:val="00497C3D"/>
    <w:rsid w:val="00497E0D"/>
    <w:rsid w:val="00497EB9"/>
    <w:rsid w:val="004A004B"/>
    <w:rsid w:val="004A0330"/>
    <w:rsid w:val="004A054A"/>
    <w:rsid w:val="004A0572"/>
    <w:rsid w:val="004A0671"/>
    <w:rsid w:val="004A06F9"/>
    <w:rsid w:val="004A0986"/>
    <w:rsid w:val="004A09E4"/>
    <w:rsid w:val="004A0A31"/>
    <w:rsid w:val="004A0CE1"/>
    <w:rsid w:val="004A0E64"/>
    <w:rsid w:val="004A112C"/>
    <w:rsid w:val="004A1391"/>
    <w:rsid w:val="004A157A"/>
    <w:rsid w:val="004A19FB"/>
    <w:rsid w:val="004A1BF1"/>
    <w:rsid w:val="004A1C77"/>
    <w:rsid w:val="004A1CAB"/>
    <w:rsid w:val="004A1D01"/>
    <w:rsid w:val="004A22F1"/>
    <w:rsid w:val="004A2348"/>
    <w:rsid w:val="004A236E"/>
    <w:rsid w:val="004A23D2"/>
    <w:rsid w:val="004A24EA"/>
    <w:rsid w:val="004A27C7"/>
    <w:rsid w:val="004A2885"/>
    <w:rsid w:val="004A2A07"/>
    <w:rsid w:val="004A2CA5"/>
    <w:rsid w:val="004A2E6E"/>
    <w:rsid w:val="004A30C2"/>
    <w:rsid w:val="004A3312"/>
    <w:rsid w:val="004A3385"/>
    <w:rsid w:val="004A34AC"/>
    <w:rsid w:val="004A3542"/>
    <w:rsid w:val="004A3643"/>
    <w:rsid w:val="004A3737"/>
    <w:rsid w:val="004A393D"/>
    <w:rsid w:val="004A3F89"/>
    <w:rsid w:val="004A427C"/>
    <w:rsid w:val="004A472D"/>
    <w:rsid w:val="004A4814"/>
    <w:rsid w:val="004A481B"/>
    <w:rsid w:val="004A4D02"/>
    <w:rsid w:val="004A4D61"/>
    <w:rsid w:val="004A5135"/>
    <w:rsid w:val="004A5231"/>
    <w:rsid w:val="004A52D8"/>
    <w:rsid w:val="004A56C2"/>
    <w:rsid w:val="004A5722"/>
    <w:rsid w:val="004A57E1"/>
    <w:rsid w:val="004A5AA5"/>
    <w:rsid w:val="004A5AE1"/>
    <w:rsid w:val="004A5B88"/>
    <w:rsid w:val="004A5DC5"/>
    <w:rsid w:val="004A5E41"/>
    <w:rsid w:val="004A5E95"/>
    <w:rsid w:val="004A6385"/>
    <w:rsid w:val="004A6557"/>
    <w:rsid w:val="004A655A"/>
    <w:rsid w:val="004A66E3"/>
    <w:rsid w:val="004A6973"/>
    <w:rsid w:val="004A6BE7"/>
    <w:rsid w:val="004A6E36"/>
    <w:rsid w:val="004A6EAD"/>
    <w:rsid w:val="004A6F13"/>
    <w:rsid w:val="004A6F57"/>
    <w:rsid w:val="004A72F9"/>
    <w:rsid w:val="004A7308"/>
    <w:rsid w:val="004A784C"/>
    <w:rsid w:val="004A7A00"/>
    <w:rsid w:val="004A7A92"/>
    <w:rsid w:val="004A7AA0"/>
    <w:rsid w:val="004A7C24"/>
    <w:rsid w:val="004A7C99"/>
    <w:rsid w:val="004A7CEC"/>
    <w:rsid w:val="004A7D55"/>
    <w:rsid w:val="004A7E40"/>
    <w:rsid w:val="004A7FD0"/>
    <w:rsid w:val="004B003F"/>
    <w:rsid w:val="004B0121"/>
    <w:rsid w:val="004B056A"/>
    <w:rsid w:val="004B0697"/>
    <w:rsid w:val="004B083D"/>
    <w:rsid w:val="004B086C"/>
    <w:rsid w:val="004B0DD5"/>
    <w:rsid w:val="004B101C"/>
    <w:rsid w:val="004B10DE"/>
    <w:rsid w:val="004B1674"/>
    <w:rsid w:val="004B17B9"/>
    <w:rsid w:val="004B2208"/>
    <w:rsid w:val="004B23DB"/>
    <w:rsid w:val="004B2430"/>
    <w:rsid w:val="004B24A2"/>
    <w:rsid w:val="004B24A6"/>
    <w:rsid w:val="004B25E4"/>
    <w:rsid w:val="004B28C6"/>
    <w:rsid w:val="004B2921"/>
    <w:rsid w:val="004B2930"/>
    <w:rsid w:val="004B2AF7"/>
    <w:rsid w:val="004B2F39"/>
    <w:rsid w:val="004B309E"/>
    <w:rsid w:val="004B3205"/>
    <w:rsid w:val="004B331A"/>
    <w:rsid w:val="004B3384"/>
    <w:rsid w:val="004B340E"/>
    <w:rsid w:val="004B35B7"/>
    <w:rsid w:val="004B35E2"/>
    <w:rsid w:val="004B3881"/>
    <w:rsid w:val="004B3937"/>
    <w:rsid w:val="004B3A65"/>
    <w:rsid w:val="004B3DE0"/>
    <w:rsid w:val="004B3FAF"/>
    <w:rsid w:val="004B4000"/>
    <w:rsid w:val="004B40F1"/>
    <w:rsid w:val="004B410A"/>
    <w:rsid w:val="004B473B"/>
    <w:rsid w:val="004B4935"/>
    <w:rsid w:val="004B4CC7"/>
    <w:rsid w:val="004B4D91"/>
    <w:rsid w:val="004B506A"/>
    <w:rsid w:val="004B537A"/>
    <w:rsid w:val="004B53C2"/>
    <w:rsid w:val="004B5416"/>
    <w:rsid w:val="004B551D"/>
    <w:rsid w:val="004B583D"/>
    <w:rsid w:val="004B5B49"/>
    <w:rsid w:val="004B5DE7"/>
    <w:rsid w:val="004B5E33"/>
    <w:rsid w:val="004B5FF5"/>
    <w:rsid w:val="004B6117"/>
    <w:rsid w:val="004B61D9"/>
    <w:rsid w:val="004B6536"/>
    <w:rsid w:val="004B6A30"/>
    <w:rsid w:val="004B6A5E"/>
    <w:rsid w:val="004B6A63"/>
    <w:rsid w:val="004B6B78"/>
    <w:rsid w:val="004B6FFF"/>
    <w:rsid w:val="004B70AE"/>
    <w:rsid w:val="004B70DF"/>
    <w:rsid w:val="004B7155"/>
    <w:rsid w:val="004B7277"/>
    <w:rsid w:val="004B72FF"/>
    <w:rsid w:val="004B7389"/>
    <w:rsid w:val="004B782C"/>
    <w:rsid w:val="004B798D"/>
    <w:rsid w:val="004B79F8"/>
    <w:rsid w:val="004B7D1B"/>
    <w:rsid w:val="004C0105"/>
    <w:rsid w:val="004C0184"/>
    <w:rsid w:val="004C02C9"/>
    <w:rsid w:val="004C0751"/>
    <w:rsid w:val="004C07B1"/>
    <w:rsid w:val="004C0900"/>
    <w:rsid w:val="004C0D43"/>
    <w:rsid w:val="004C0D9A"/>
    <w:rsid w:val="004C0DA2"/>
    <w:rsid w:val="004C0EB9"/>
    <w:rsid w:val="004C0FD9"/>
    <w:rsid w:val="004C13BA"/>
    <w:rsid w:val="004C13C0"/>
    <w:rsid w:val="004C13DD"/>
    <w:rsid w:val="004C14B3"/>
    <w:rsid w:val="004C14BF"/>
    <w:rsid w:val="004C1647"/>
    <w:rsid w:val="004C1E91"/>
    <w:rsid w:val="004C1EA1"/>
    <w:rsid w:val="004C21A2"/>
    <w:rsid w:val="004C23DC"/>
    <w:rsid w:val="004C258B"/>
    <w:rsid w:val="004C26E1"/>
    <w:rsid w:val="004C291D"/>
    <w:rsid w:val="004C2B52"/>
    <w:rsid w:val="004C317D"/>
    <w:rsid w:val="004C3245"/>
    <w:rsid w:val="004C3407"/>
    <w:rsid w:val="004C34D5"/>
    <w:rsid w:val="004C372A"/>
    <w:rsid w:val="004C3793"/>
    <w:rsid w:val="004C3A70"/>
    <w:rsid w:val="004C3C58"/>
    <w:rsid w:val="004C4054"/>
    <w:rsid w:val="004C41ED"/>
    <w:rsid w:val="004C46D4"/>
    <w:rsid w:val="004C4AC0"/>
    <w:rsid w:val="004C4C6A"/>
    <w:rsid w:val="004C4D3E"/>
    <w:rsid w:val="004C4DED"/>
    <w:rsid w:val="004C4E09"/>
    <w:rsid w:val="004C5187"/>
    <w:rsid w:val="004C52AF"/>
    <w:rsid w:val="004C58C9"/>
    <w:rsid w:val="004C58F0"/>
    <w:rsid w:val="004C5949"/>
    <w:rsid w:val="004C5B48"/>
    <w:rsid w:val="004C5B97"/>
    <w:rsid w:val="004C5F81"/>
    <w:rsid w:val="004C5FC1"/>
    <w:rsid w:val="004C5FDB"/>
    <w:rsid w:val="004C6078"/>
    <w:rsid w:val="004C629F"/>
    <w:rsid w:val="004C647A"/>
    <w:rsid w:val="004C64F7"/>
    <w:rsid w:val="004C65A0"/>
    <w:rsid w:val="004C69FE"/>
    <w:rsid w:val="004C6BA2"/>
    <w:rsid w:val="004C6D8D"/>
    <w:rsid w:val="004C6DB0"/>
    <w:rsid w:val="004C7018"/>
    <w:rsid w:val="004C710D"/>
    <w:rsid w:val="004C71BB"/>
    <w:rsid w:val="004C7716"/>
    <w:rsid w:val="004C7739"/>
    <w:rsid w:val="004D033C"/>
    <w:rsid w:val="004D0351"/>
    <w:rsid w:val="004D03B8"/>
    <w:rsid w:val="004D04DE"/>
    <w:rsid w:val="004D04F3"/>
    <w:rsid w:val="004D05D2"/>
    <w:rsid w:val="004D0609"/>
    <w:rsid w:val="004D08EE"/>
    <w:rsid w:val="004D0942"/>
    <w:rsid w:val="004D0990"/>
    <w:rsid w:val="004D09E0"/>
    <w:rsid w:val="004D0E7B"/>
    <w:rsid w:val="004D11A8"/>
    <w:rsid w:val="004D1271"/>
    <w:rsid w:val="004D1308"/>
    <w:rsid w:val="004D149F"/>
    <w:rsid w:val="004D1771"/>
    <w:rsid w:val="004D1783"/>
    <w:rsid w:val="004D1C02"/>
    <w:rsid w:val="004D1DB9"/>
    <w:rsid w:val="004D1DEF"/>
    <w:rsid w:val="004D20F4"/>
    <w:rsid w:val="004D2153"/>
    <w:rsid w:val="004D26F5"/>
    <w:rsid w:val="004D2715"/>
    <w:rsid w:val="004D27A9"/>
    <w:rsid w:val="004D2987"/>
    <w:rsid w:val="004D2A78"/>
    <w:rsid w:val="004D2A7F"/>
    <w:rsid w:val="004D2B25"/>
    <w:rsid w:val="004D2DD5"/>
    <w:rsid w:val="004D30F0"/>
    <w:rsid w:val="004D31D5"/>
    <w:rsid w:val="004D32E8"/>
    <w:rsid w:val="004D3382"/>
    <w:rsid w:val="004D34DA"/>
    <w:rsid w:val="004D3948"/>
    <w:rsid w:val="004D3BB9"/>
    <w:rsid w:val="004D3C51"/>
    <w:rsid w:val="004D3DA5"/>
    <w:rsid w:val="004D3DCC"/>
    <w:rsid w:val="004D43C3"/>
    <w:rsid w:val="004D44B0"/>
    <w:rsid w:val="004D4533"/>
    <w:rsid w:val="004D45D7"/>
    <w:rsid w:val="004D463A"/>
    <w:rsid w:val="004D4B8C"/>
    <w:rsid w:val="004D50B8"/>
    <w:rsid w:val="004D52C7"/>
    <w:rsid w:val="004D5780"/>
    <w:rsid w:val="004D5CBE"/>
    <w:rsid w:val="004D5D0C"/>
    <w:rsid w:val="004D5D2E"/>
    <w:rsid w:val="004D5DA8"/>
    <w:rsid w:val="004D5FA6"/>
    <w:rsid w:val="004D5FE2"/>
    <w:rsid w:val="004D6085"/>
    <w:rsid w:val="004D6293"/>
    <w:rsid w:val="004D631D"/>
    <w:rsid w:val="004D64AE"/>
    <w:rsid w:val="004D6B5F"/>
    <w:rsid w:val="004D6F83"/>
    <w:rsid w:val="004D7206"/>
    <w:rsid w:val="004D7336"/>
    <w:rsid w:val="004D7492"/>
    <w:rsid w:val="004D759E"/>
    <w:rsid w:val="004D75A7"/>
    <w:rsid w:val="004D7812"/>
    <w:rsid w:val="004D791E"/>
    <w:rsid w:val="004D7945"/>
    <w:rsid w:val="004D798F"/>
    <w:rsid w:val="004D7BB5"/>
    <w:rsid w:val="004D7CAB"/>
    <w:rsid w:val="004E02AF"/>
    <w:rsid w:val="004E036E"/>
    <w:rsid w:val="004E049A"/>
    <w:rsid w:val="004E06AD"/>
    <w:rsid w:val="004E0882"/>
    <w:rsid w:val="004E0CC6"/>
    <w:rsid w:val="004E0D4D"/>
    <w:rsid w:val="004E0E45"/>
    <w:rsid w:val="004E0EC0"/>
    <w:rsid w:val="004E0F2B"/>
    <w:rsid w:val="004E14AD"/>
    <w:rsid w:val="004E150D"/>
    <w:rsid w:val="004E1523"/>
    <w:rsid w:val="004E19BD"/>
    <w:rsid w:val="004E1B43"/>
    <w:rsid w:val="004E1C4C"/>
    <w:rsid w:val="004E1C99"/>
    <w:rsid w:val="004E22AA"/>
    <w:rsid w:val="004E2698"/>
    <w:rsid w:val="004E2814"/>
    <w:rsid w:val="004E29A3"/>
    <w:rsid w:val="004E2A19"/>
    <w:rsid w:val="004E2AA8"/>
    <w:rsid w:val="004E2F68"/>
    <w:rsid w:val="004E3235"/>
    <w:rsid w:val="004E32EF"/>
    <w:rsid w:val="004E33B6"/>
    <w:rsid w:val="004E33FF"/>
    <w:rsid w:val="004E3672"/>
    <w:rsid w:val="004E3826"/>
    <w:rsid w:val="004E3894"/>
    <w:rsid w:val="004E3978"/>
    <w:rsid w:val="004E3B9B"/>
    <w:rsid w:val="004E3BAE"/>
    <w:rsid w:val="004E3F09"/>
    <w:rsid w:val="004E411E"/>
    <w:rsid w:val="004E48AC"/>
    <w:rsid w:val="004E48EF"/>
    <w:rsid w:val="004E4A6F"/>
    <w:rsid w:val="004E4B2B"/>
    <w:rsid w:val="004E4BE4"/>
    <w:rsid w:val="004E4C50"/>
    <w:rsid w:val="004E4CA1"/>
    <w:rsid w:val="004E4D66"/>
    <w:rsid w:val="004E4E39"/>
    <w:rsid w:val="004E4EF1"/>
    <w:rsid w:val="004E50D3"/>
    <w:rsid w:val="004E511B"/>
    <w:rsid w:val="004E5302"/>
    <w:rsid w:val="004E57AF"/>
    <w:rsid w:val="004E5801"/>
    <w:rsid w:val="004E5B99"/>
    <w:rsid w:val="004E5CD5"/>
    <w:rsid w:val="004E64AE"/>
    <w:rsid w:val="004E6594"/>
    <w:rsid w:val="004E66E4"/>
    <w:rsid w:val="004E685B"/>
    <w:rsid w:val="004E6A69"/>
    <w:rsid w:val="004E6A71"/>
    <w:rsid w:val="004E6C86"/>
    <w:rsid w:val="004E6F41"/>
    <w:rsid w:val="004E7464"/>
    <w:rsid w:val="004E74EA"/>
    <w:rsid w:val="004E75B8"/>
    <w:rsid w:val="004E792C"/>
    <w:rsid w:val="004E7B1C"/>
    <w:rsid w:val="004E7C02"/>
    <w:rsid w:val="004E7DC9"/>
    <w:rsid w:val="004E7DF6"/>
    <w:rsid w:val="004F041B"/>
    <w:rsid w:val="004F0549"/>
    <w:rsid w:val="004F05CE"/>
    <w:rsid w:val="004F05FE"/>
    <w:rsid w:val="004F09BA"/>
    <w:rsid w:val="004F0AD1"/>
    <w:rsid w:val="004F0ADF"/>
    <w:rsid w:val="004F0D91"/>
    <w:rsid w:val="004F10A1"/>
    <w:rsid w:val="004F121D"/>
    <w:rsid w:val="004F12DD"/>
    <w:rsid w:val="004F13FA"/>
    <w:rsid w:val="004F16FC"/>
    <w:rsid w:val="004F170C"/>
    <w:rsid w:val="004F17C6"/>
    <w:rsid w:val="004F1805"/>
    <w:rsid w:val="004F190D"/>
    <w:rsid w:val="004F1AB5"/>
    <w:rsid w:val="004F1EB0"/>
    <w:rsid w:val="004F1EC4"/>
    <w:rsid w:val="004F1F1D"/>
    <w:rsid w:val="004F22C3"/>
    <w:rsid w:val="004F266C"/>
    <w:rsid w:val="004F27A0"/>
    <w:rsid w:val="004F2AD7"/>
    <w:rsid w:val="004F2C56"/>
    <w:rsid w:val="004F31A7"/>
    <w:rsid w:val="004F31CE"/>
    <w:rsid w:val="004F3597"/>
    <w:rsid w:val="004F379C"/>
    <w:rsid w:val="004F37E8"/>
    <w:rsid w:val="004F3B37"/>
    <w:rsid w:val="004F3F10"/>
    <w:rsid w:val="004F3FD7"/>
    <w:rsid w:val="004F4510"/>
    <w:rsid w:val="004F469E"/>
    <w:rsid w:val="004F4880"/>
    <w:rsid w:val="004F4C82"/>
    <w:rsid w:val="004F4D12"/>
    <w:rsid w:val="004F4F22"/>
    <w:rsid w:val="004F50B6"/>
    <w:rsid w:val="004F521F"/>
    <w:rsid w:val="004F53F6"/>
    <w:rsid w:val="004F5A68"/>
    <w:rsid w:val="004F5C92"/>
    <w:rsid w:val="004F5F2B"/>
    <w:rsid w:val="004F600A"/>
    <w:rsid w:val="004F60DD"/>
    <w:rsid w:val="004F619C"/>
    <w:rsid w:val="004F61A4"/>
    <w:rsid w:val="004F64D3"/>
    <w:rsid w:val="004F6584"/>
    <w:rsid w:val="004F69D3"/>
    <w:rsid w:val="004F69F0"/>
    <w:rsid w:val="004F6CF2"/>
    <w:rsid w:val="004F6D29"/>
    <w:rsid w:val="004F6DBD"/>
    <w:rsid w:val="004F6E1C"/>
    <w:rsid w:val="004F6E67"/>
    <w:rsid w:val="004F722F"/>
    <w:rsid w:val="004F7524"/>
    <w:rsid w:val="004F7552"/>
    <w:rsid w:val="004F79AF"/>
    <w:rsid w:val="004F79C4"/>
    <w:rsid w:val="004F7DF3"/>
    <w:rsid w:val="004F7E04"/>
    <w:rsid w:val="004F7E69"/>
    <w:rsid w:val="005002AF"/>
    <w:rsid w:val="00500421"/>
    <w:rsid w:val="0050043C"/>
    <w:rsid w:val="0050048C"/>
    <w:rsid w:val="00500518"/>
    <w:rsid w:val="00500537"/>
    <w:rsid w:val="0050053C"/>
    <w:rsid w:val="0050056E"/>
    <w:rsid w:val="0050064C"/>
    <w:rsid w:val="00500865"/>
    <w:rsid w:val="005008D5"/>
    <w:rsid w:val="00500AA2"/>
    <w:rsid w:val="00500AAE"/>
    <w:rsid w:val="00500CA6"/>
    <w:rsid w:val="00500D7E"/>
    <w:rsid w:val="00500E62"/>
    <w:rsid w:val="00501298"/>
    <w:rsid w:val="005012D4"/>
    <w:rsid w:val="0050178E"/>
    <w:rsid w:val="0050182E"/>
    <w:rsid w:val="00501890"/>
    <w:rsid w:val="00501961"/>
    <w:rsid w:val="00501A6C"/>
    <w:rsid w:val="00501BF8"/>
    <w:rsid w:val="00501CD2"/>
    <w:rsid w:val="00501CD7"/>
    <w:rsid w:val="00501D85"/>
    <w:rsid w:val="00501FF9"/>
    <w:rsid w:val="0050203D"/>
    <w:rsid w:val="00502216"/>
    <w:rsid w:val="005022DA"/>
    <w:rsid w:val="0050257C"/>
    <w:rsid w:val="005025C9"/>
    <w:rsid w:val="005025D2"/>
    <w:rsid w:val="00502627"/>
    <w:rsid w:val="00502694"/>
    <w:rsid w:val="0050282F"/>
    <w:rsid w:val="0050290F"/>
    <w:rsid w:val="0050291F"/>
    <w:rsid w:val="0050292B"/>
    <w:rsid w:val="00502AAA"/>
    <w:rsid w:val="00502B5F"/>
    <w:rsid w:val="00502DEF"/>
    <w:rsid w:val="00502ED2"/>
    <w:rsid w:val="00503165"/>
    <w:rsid w:val="0050320A"/>
    <w:rsid w:val="005032CE"/>
    <w:rsid w:val="00503320"/>
    <w:rsid w:val="00503338"/>
    <w:rsid w:val="00503600"/>
    <w:rsid w:val="00503707"/>
    <w:rsid w:val="00503A4D"/>
    <w:rsid w:val="00503C84"/>
    <w:rsid w:val="00503D81"/>
    <w:rsid w:val="00504192"/>
    <w:rsid w:val="00504413"/>
    <w:rsid w:val="00504635"/>
    <w:rsid w:val="005047BA"/>
    <w:rsid w:val="005047F4"/>
    <w:rsid w:val="005049F7"/>
    <w:rsid w:val="00504AF1"/>
    <w:rsid w:val="00504BE4"/>
    <w:rsid w:val="00504C11"/>
    <w:rsid w:val="00504DDD"/>
    <w:rsid w:val="00504F12"/>
    <w:rsid w:val="00505041"/>
    <w:rsid w:val="005050AA"/>
    <w:rsid w:val="005051D9"/>
    <w:rsid w:val="0050584D"/>
    <w:rsid w:val="00505864"/>
    <w:rsid w:val="00505889"/>
    <w:rsid w:val="005058C0"/>
    <w:rsid w:val="00505C52"/>
    <w:rsid w:val="00505D4C"/>
    <w:rsid w:val="00505D9D"/>
    <w:rsid w:val="00505F70"/>
    <w:rsid w:val="00506019"/>
    <w:rsid w:val="0050620C"/>
    <w:rsid w:val="005062A8"/>
    <w:rsid w:val="0050634D"/>
    <w:rsid w:val="00506466"/>
    <w:rsid w:val="005064B8"/>
    <w:rsid w:val="00506566"/>
    <w:rsid w:val="0050660E"/>
    <w:rsid w:val="00506A0C"/>
    <w:rsid w:val="00506AF3"/>
    <w:rsid w:val="00506D39"/>
    <w:rsid w:val="00506D72"/>
    <w:rsid w:val="00506EC2"/>
    <w:rsid w:val="00506F62"/>
    <w:rsid w:val="0050728F"/>
    <w:rsid w:val="0050767D"/>
    <w:rsid w:val="00507C24"/>
    <w:rsid w:val="00507C7A"/>
    <w:rsid w:val="0051020B"/>
    <w:rsid w:val="0051031F"/>
    <w:rsid w:val="005103FB"/>
    <w:rsid w:val="00510C8E"/>
    <w:rsid w:val="00511237"/>
    <w:rsid w:val="0051124B"/>
    <w:rsid w:val="00511255"/>
    <w:rsid w:val="00511377"/>
    <w:rsid w:val="00511644"/>
    <w:rsid w:val="00511892"/>
    <w:rsid w:val="00511AEC"/>
    <w:rsid w:val="00511D11"/>
    <w:rsid w:val="00511E5B"/>
    <w:rsid w:val="00512081"/>
    <w:rsid w:val="00512353"/>
    <w:rsid w:val="005123E7"/>
    <w:rsid w:val="00512BBC"/>
    <w:rsid w:val="00512E13"/>
    <w:rsid w:val="00512EEB"/>
    <w:rsid w:val="00512F62"/>
    <w:rsid w:val="00513143"/>
    <w:rsid w:val="005131F0"/>
    <w:rsid w:val="00513219"/>
    <w:rsid w:val="00513234"/>
    <w:rsid w:val="00513420"/>
    <w:rsid w:val="0051351E"/>
    <w:rsid w:val="005136C1"/>
    <w:rsid w:val="0051382E"/>
    <w:rsid w:val="00513994"/>
    <w:rsid w:val="005139A2"/>
    <w:rsid w:val="00513DAC"/>
    <w:rsid w:val="00514031"/>
    <w:rsid w:val="005140D2"/>
    <w:rsid w:val="00514106"/>
    <w:rsid w:val="005143AB"/>
    <w:rsid w:val="00514429"/>
    <w:rsid w:val="005148D4"/>
    <w:rsid w:val="00514CE6"/>
    <w:rsid w:val="00514FF0"/>
    <w:rsid w:val="0051500B"/>
    <w:rsid w:val="005150CF"/>
    <w:rsid w:val="00515105"/>
    <w:rsid w:val="0051520D"/>
    <w:rsid w:val="005152B8"/>
    <w:rsid w:val="00515661"/>
    <w:rsid w:val="005157CA"/>
    <w:rsid w:val="005158BE"/>
    <w:rsid w:val="00515A19"/>
    <w:rsid w:val="00515E3F"/>
    <w:rsid w:val="00516052"/>
    <w:rsid w:val="00516253"/>
    <w:rsid w:val="005162BD"/>
    <w:rsid w:val="0051631B"/>
    <w:rsid w:val="00516464"/>
    <w:rsid w:val="005164BB"/>
    <w:rsid w:val="00516A74"/>
    <w:rsid w:val="00516E3C"/>
    <w:rsid w:val="00517060"/>
    <w:rsid w:val="0051768E"/>
    <w:rsid w:val="005177E8"/>
    <w:rsid w:val="00517957"/>
    <w:rsid w:val="00517972"/>
    <w:rsid w:val="00517AF8"/>
    <w:rsid w:val="00517B0A"/>
    <w:rsid w:val="00517BAC"/>
    <w:rsid w:val="00517BB7"/>
    <w:rsid w:val="00517CF4"/>
    <w:rsid w:val="00517DCF"/>
    <w:rsid w:val="00517E33"/>
    <w:rsid w:val="00517E71"/>
    <w:rsid w:val="0052025B"/>
    <w:rsid w:val="00520319"/>
    <w:rsid w:val="0052045D"/>
    <w:rsid w:val="00520A28"/>
    <w:rsid w:val="00520AA8"/>
    <w:rsid w:val="00520AD8"/>
    <w:rsid w:val="00520B0C"/>
    <w:rsid w:val="00520CCD"/>
    <w:rsid w:val="00520F12"/>
    <w:rsid w:val="00520FE8"/>
    <w:rsid w:val="00520FE9"/>
    <w:rsid w:val="00520FFB"/>
    <w:rsid w:val="00521073"/>
    <w:rsid w:val="00521692"/>
    <w:rsid w:val="00521770"/>
    <w:rsid w:val="0052177D"/>
    <w:rsid w:val="00521961"/>
    <w:rsid w:val="00521A1E"/>
    <w:rsid w:val="00521AE8"/>
    <w:rsid w:val="00521B7B"/>
    <w:rsid w:val="00521CE9"/>
    <w:rsid w:val="00521D68"/>
    <w:rsid w:val="00521DAC"/>
    <w:rsid w:val="00521DBD"/>
    <w:rsid w:val="00522028"/>
    <w:rsid w:val="0052237C"/>
    <w:rsid w:val="00522514"/>
    <w:rsid w:val="00522709"/>
    <w:rsid w:val="005227C9"/>
    <w:rsid w:val="00522807"/>
    <w:rsid w:val="005228E4"/>
    <w:rsid w:val="00522A56"/>
    <w:rsid w:val="00522CCF"/>
    <w:rsid w:val="00522DA3"/>
    <w:rsid w:val="00522EB2"/>
    <w:rsid w:val="00522EBC"/>
    <w:rsid w:val="00523062"/>
    <w:rsid w:val="0052342A"/>
    <w:rsid w:val="00523755"/>
    <w:rsid w:val="00523A05"/>
    <w:rsid w:val="00523AA0"/>
    <w:rsid w:val="00523B81"/>
    <w:rsid w:val="00523D43"/>
    <w:rsid w:val="00523EA0"/>
    <w:rsid w:val="00524044"/>
    <w:rsid w:val="005242C1"/>
    <w:rsid w:val="005242F2"/>
    <w:rsid w:val="005245B9"/>
    <w:rsid w:val="0052476B"/>
    <w:rsid w:val="00524A04"/>
    <w:rsid w:val="00524C6D"/>
    <w:rsid w:val="00525005"/>
    <w:rsid w:val="005253CA"/>
    <w:rsid w:val="0052562B"/>
    <w:rsid w:val="00525643"/>
    <w:rsid w:val="005257B6"/>
    <w:rsid w:val="005257C4"/>
    <w:rsid w:val="00525A43"/>
    <w:rsid w:val="00525A93"/>
    <w:rsid w:val="00525C4C"/>
    <w:rsid w:val="00525D41"/>
    <w:rsid w:val="00525FD6"/>
    <w:rsid w:val="005269BF"/>
    <w:rsid w:val="00526A02"/>
    <w:rsid w:val="00526AE5"/>
    <w:rsid w:val="00526CD7"/>
    <w:rsid w:val="00526DED"/>
    <w:rsid w:val="00527219"/>
    <w:rsid w:val="0052721B"/>
    <w:rsid w:val="005273DA"/>
    <w:rsid w:val="00527400"/>
    <w:rsid w:val="00527596"/>
    <w:rsid w:val="00527781"/>
    <w:rsid w:val="005279A7"/>
    <w:rsid w:val="00527A0F"/>
    <w:rsid w:val="00527A4F"/>
    <w:rsid w:val="005301DD"/>
    <w:rsid w:val="00530204"/>
    <w:rsid w:val="00530348"/>
    <w:rsid w:val="0053038F"/>
    <w:rsid w:val="00530475"/>
    <w:rsid w:val="00530516"/>
    <w:rsid w:val="00530951"/>
    <w:rsid w:val="00530975"/>
    <w:rsid w:val="005309AA"/>
    <w:rsid w:val="00530C1C"/>
    <w:rsid w:val="00530D88"/>
    <w:rsid w:val="00530F9A"/>
    <w:rsid w:val="00531098"/>
    <w:rsid w:val="0053134B"/>
    <w:rsid w:val="00531482"/>
    <w:rsid w:val="0053178F"/>
    <w:rsid w:val="005318C6"/>
    <w:rsid w:val="00531D60"/>
    <w:rsid w:val="00531E11"/>
    <w:rsid w:val="00531E51"/>
    <w:rsid w:val="00532091"/>
    <w:rsid w:val="00532549"/>
    <w:rsid w:val="0053256F"/>
    <w:rsid w:val="005326D9"/>
    <w:rsid w:val="005328A3"/>
    <w:rsid w:val="00532A47"/>
    <w:rsid w:val="00532BDF"/>
    <w:rsid w:val="00532DC6"/>
    <w:rsid w:val="00532E33"/>
    <w:rsid w:val="00532E55"/>
    <w:rsid w:val="00532ED4"/>
    <w:rsid w:val="00532F28"/>
    <w:rsid w:val="0053314E"/>
    <w:rsid w:val="00533465"/>
    <w:rsid w:val="005334D1"/>
    <w:rsid w:val="005334F4"/>
    <w:rsid w:val="0053369B"/>
    <w:rsid w:val="005336D4"/>
    <w:rsid w:val="005336DB"/>
    <w:rsid w:val="0053383D"/>
    <w:rsid w:val="00533A1E"/>
    <w:rsid w:val="00533A9D"/>
    <w:rsid w:val="00533B04"/>
    <w:rsid w:val="00533CBD"/>
    <w:rsid w:val="00533F78"/>
    <w:rsid w:val="0053449E"/>
    <w:rsid w:val="005345CB"/>
    <w:rsid w:val="00534670"/>
    <w:rsid w:val="00534A99"/>
    <w:rsid w:val="00534BDA"/>
    <w:rsid w:val="00534D4F"/>
    <w:rsid w:val="00534DCD"/>
    <w:rsid w:val="005350B4"/>
    <w:rsid w:val="005357EF"/>
    <w:rsid w:val="00535996"/>
    <w:rsid w:val="00535DF1"/>
    <w:rsid w:val="00535E05"/>
    <w:rsid w:val="00535E5B"/>
    <w:rsid w:val="005364A1"/>
    <w:rsid w:val="005365A7"/>
    <w:rsid w:val="005366C0"/>
    <w:rsid w:val="005366F6"/>
    <w:rsid w:val="005367B3"/>
    <w:rsid w:val="00536EAE"/>
    <w:rsid w:val="00537022"/>
    <w:rsid w:val="005370BE"/>
    <w:rsid w:val="005370C0"/>
    <w:rsid w:val="00537525"/>
    <w:rsid w:val="005379C5"/>
    <w:rsid w:val="00537C6B"/>
    <w:rsid w:val="00537D10"/>
    <w:rsid w:val="00537D6D"/>
    <w:rsid w:val="00537F29"/>
    <w:rsid w:val="0054005C"/>
    <w:rsid w:val="005402CD"/>
    <w:rsid w:val="0054037C"/>
    <w:rsid w:val="005404B1"/>
    <w:rsid w:val="005404F3"/>
    <w:rsid w:val="005405E9"/>
    <w:rsid w:val="005406A6"/>
    <w:rsid w:val="0054073B"/>
    <w:rsid w:val="0054077A"/>
    <w:rsid w:val="00540BF0"/>
    <w:rsid w:val="005411D3"/>
    <w:rsid w:val="0054125E"/>
    <w:rsid w:val="005413A1"/>
    <w:rsid w:val="005413A4"/>
    <w:rsid w:val="0054153F"/>
    <w:rsid w:val="005415B2"/>
    <w:rsid w:val="0054172A"/>
    <w:rsid w:val="0054175A"/>
    <w:rsid w:val="00541788"/>
    <w:rsid w:val="00541B31"/>
    <w:rsid w:val="00541EA8"/>
    <w:rsid w:val="005420DC"/>
    <w:rsid w:val="00542199"/>
    <w:rsid w:val="00542504"/>
    <w:rsid w:val="005426FC"/>
    <w:rsid w:val="00542709"/>
    <w:rsid w:val="005427F5"/>
    <w:rsid w:val="00542979"/>
    <w:rsid w:val="005429B2"/>
    <w:rsid w:val="00542A2A"/>
    <w:rsid w:val="00542EE3"/>
    <w:rsid w:val="005430E0"/>
    <w:rsid w:val="005430E4"/>
    <w:rsid w:val="005432EB"/>
    <w:rsid w:val="005436DB"/>
    <w:rsid w:val="005438FC"/>
    <w:rsid w:val="00543C0E"/>
    <w:rsid w:val="00543DC9"/>
    <w:rsid w:val="00543EA7"/>
    <w:rsid w:val="00543EEA"/>
    <w:rsid w:val="00543F28"/>
    <w:rsid w:val="00543F89"/>
    <w:rsid w:val="005443E6"/>
    <w:rsid w:val="0054447C"/>
    <w:rsid w:val="005444C8"/>
    <w:rsid w:val="005444F7"/>
    <w:rsid w:val="005447EE"/>
    <w:rsid w:val="00544943"/>
    <w:rsid w:val="00544999"/>
    <w:rsid w:val="00544F35"/>
    <w:rsid w:val="00544F75"/>
    <w:rsid w:val="005451E8"/>
    <w:rsid w:val="00545247"/>
    <w:rsid w:val="005452A4"/>
    <w:rsid w:val="00545475"/>
    <w:rsid w:val="0054547F"/>
    <w:rsid w:val="00545515"/>
    <w:rsid w:val="0054571A"/>
    <w:rsid w:val="0054571D"/>
    <w:rsid w:val="00545763"/>
    <w:rsid w:val="0054592C"/>
    <w:rsid w:val="00545953"/>
    <w:rsid w:val="0054598A"/>
    <w:rsid w:val="00545DAE"/>
    <w:rsid w:val="00545E3C"/>
    <w:rsid w:val="00545F7C"/>
    <w:rsid w:val="00546000"/>
    <w:rsid w:val="005460B5"/>
    <w:rsid w:val="005461A6"/>
    <w:rsid w:val="00546309"/>
    <w:rsid w:val="00546461"/>
    <w:rsid w:val="00546524"/>
    <w:rsid w:val="00546756"/>
    <w:rsid w:val="0054698F"/>
    <w:rsid w:val="00546A57"/>
    <w:rsid w:val="00546B25"/>
    <w:rsid w:val="00546BEC"/>
    <w:rsid w:val="00546C07"/>
    <w:rsid w:val="00546C39"/>
    <w:rsid w:val="00546C3B"/>
    <w:rsid w:val="00546F9E"/>
    <w:rsid w:val="00546FDF"/>
    <w:rsid w:val="0054710A"/>
    <w:rsid w:val="005471B0"/>
    <w:rsid w:val="00547208"/>
    <w:rsid w:val="0054721B"/>
    <w:rsid w:val="00547368"/>
    <w:rsid w:val="005473B4"/>
    <w:rsid w:val="00547575"/>
    <w:rsid w:val="00547699"/>
    <w:rsid w:val="00547704"/>
    <w:rsid w:val="00547973"/>
    <w:rsid w:val="00547A5B"/>
    <w:rsid w:val="00547ABF"/>
    <w:rsid w:val="00547BC5"/>
    <w:rsid w:val="00547C71"/>
    <w:rsid w:val="00547C98"/>
    <w:rsid w:val="00547D14"/>
    <w:rsid w:val="00550241"/>
    <w:rsid w:val="00550601"/>
    <w:rsid w:val="00550687"/>
    <w:rsid w:val="00550831"/>
    <w:rsid w:val="005508EE"/>
    <w:rsid w:val="005509DB"/>
    <w:rsid w:val="00550D19"/>
    <w:rsid w:val="00550D93"/>
    <w:rsid w:val="00550FB1"/>
    <w:rsid w:val="0055190E"/>
    <w:rsid w:val="00551C33"/>
    <w:rsid w:val="00551CDF"/>
    <w:rsid w:val="00551D14"/>
    <w:rsid w:val="00551FB7"/>
    <w:rsid w:val="00552141"/>
    <w:rsid w:val="00552660"/>
    <w:rsid w:val="0055290B"/>
    <w:rsid w:val="00552920"/>
    <w:rsid w:val="00552A26"/>
    <w:rsid w:val="00553102"/>
    <w:rsid w:val="0055311B"/>
    <w:rsid w:val="00553187"/>
    <w:rsid w:val="0055336D"/>
    <w:rsid w:val="0055395D"/>
    <w:rsid w:val="005539EC"/>
    <w:rsid w:val="00553AAF"/>
    <w:rsid w:val="00553B52"/>
    <w:rsid w:val="00553C4E"/>
    <w:rsid w:val="00553E44"/>
    <w:rsid w:val="00553EB4"/>
    <w:rsid w:val="005540CD"/>
    <w:rsid w:val="00554249"/>
    <w:rsid w:val="00554325"/>
    <w:rsid w:val="00554478"/>
    <w:rsid w:val="00554514"/>
    <w:rsid w:val="005547CF"/>
    <w:rsid w:val="00554E1F"/>
    <w:rsid w:val="0055531D"/>
    <w:rsid w:val="0055545F"/>
    <w:rsid w:val="00555739"/>
    <w:rsid w:val="00555746"/>
    <w:rsid w:val="005557C0"/>
    <w:rsid w:val="00555A06"/>
    <w:rsid w:val="00555B7A"/>
    <w:rsid w:val="00555E33"/>
    <w:rsid w:val="00555EB0"/>
    <w:rsid w:val="00556046"/>
    <w:rsid w:val="00556225"/>
    <w:rsid w:val="00556586"/>
    <w:rsid w:val="005566D6"/>
    <w:rsid w:val="00556936"/>
    <w:rsid w:val="00556AB2"/>
    <w:rsid w:val="00556ABF"/>
    <w:rsid w:val="00556B6C"/>
    <w:rsid w:val="00556C88"/>
    <w:rsid w:val="00556CEE"/>
    <w:rsid w:val="00556DFC"/>
    <w:rsid w:val="00556F2E"/>
    <w:rsid w:val="0055706A"/>
    <w:rsid w:val="00557458"/>
    <w:rsid w:val="00557795"/>
    <w:rsid w:val="0055788E"/>
    <w:rsid w:val="005578A9"/>
    <w:rsid w:val="00557D82"/>
    <w:rsid w:val="00557E4B"/>
    <w:rsid w:val="00557FE8"/>
    <w:rsid w:val="00560413"/>
    <w:rsid w:val="00560446"/>
    <w:rsid w:val="00560A05"/>
    <w:rsid w:val="00560C0F"/>
    <w:rsid w:val="00561065"/>
    <w:rsid w:val="00561072"/>
    <w:rsid w:val="00561213"/>
    <w:rsid w:val="0056121D"/>
    <w:rsid w:val="005613AA"/>
    <w:rsid w:val="005613D5"/>
    <w:rsid w:val="00561620"/>
    <w:rsid w:val="00561850"/>
    <w:rsid w:val="00561957"/>
    <w:rsid w:val="00561BA1"/>
    <w:rsid w:val="00561CA2"/>
    <w:rsid w:val="00561F67"/>
    <w:rsid w:val="00561F70"/>
    <w:rsid w:val="00562195"/>
    <w:rsid w:val="00562357"/>
    <w:rsid w:val="00562487"/>
    <w:rsid w:val="00562572"/>
    <w:rsid w:val="005629ED"/>
    <w:rsid w:val="005631D3"/>
    <w:rsid w:val="00563293"/>
    <w:rsid w:val="0056341E"/>
    <w:rsid w:val="0056348C"/>
    <w:rsid w:val="00563782"/>
    <w:rsid w:val="005637B5"/>
    <w:rsid w:val="005637F1"/>
    <w:rsid w:val="00563843"/>
    <w:rsid w:val="00563928"/>
    <w:rsid w:val="00563A20"/>
    <w:rsid w:val="00563A72"/>
    <w:rsid w:val="00563BEE"/>
    <w:rsid w:val="00563D05"/>
    <w:rsid w:val="0056405B"/>
    <w:rsid w:val="0056409C"/>
    <w:rsid w:val="005640EE"/>
    <w:rsid w:val="00564852"/>
    <w:rsid w:val="00564EFC"/>
    <w:rsid w:val="00564F40"/>
    <w:rsid w:val="0056510E"/>
    <w:rsid w:val="005652DE"/>
    <w:rsid w:val="00565336"/>
    <w:rsid w:val="0056538F"/>
    <w:rsid w:val="00565538"/>
    <w:rsid w:val="005657C9"/>
    <w:rsid w:val="00565850"/>
    <w:rsid w:val="00565CF8"/>
    <w:rsid w:val="005660B1"/>
    <w:rsid w:val="005660F9"/>
    <w:rsid w:val="0056622E"/>
    <w:rsid w:val="0056625D"/>
    <w:rsid w:val="00566342"/>
    <w:rsid w:val="0056670B"/>
    <w:rsid w:val="00566E4C"/>
    <w:rsid w:val="00566FA8"/>
    <w:rsid w:val="00567292"/>
    <w:rsid w:val="00567340"/>
    <w:rsid w:val="00567E4F"/>
    <w:rsid w:val="00570033"/>
    <w:rsid w:val="005701DC"/>
    <w:rsid w:val="00570297"/>
    <w:rsid w:val="005703F5"/>
    <w:rsid w:val="005703FE"/>
    <w:rsid w:val="00570638"/>
    <w:rsid w:val="0057076C"/>
    <w:rsid w:val="005707E8"/>
    <w:rsid w:val="00570858"/>
    <w:rsid w:val="00570AC3"/>
    <w:rsid w:val="00570C95"/>
    <w:rsid w:val="00570CBC"/>
    <w:rsid w:val="00570D01"/>
    <w:rsid w:val="00570D2E"/>
    <w:rsid w:val="00570D4A"/>
    <w:rsid w:val="00570DE1"/>
    <w:rsid w:val="00571694"/>
    <w:rsid w:val="00571771"/>
    <w:rsid w:val="00571BE7"/>
    <w:rsid w:val="00571C85"/>
    <w:rsid w:val="00571DE8"/>
    <w:rsid w:val="00571E76"/>
    <w:rsid w:val="00571FC8"/>
    <w:rsid w:val="0057213D"/>
    <w:rsid w:val="0057219F"/>
    <w:rsid w:val="00572288"/>
    <w:rsid w:val="0057229C"/>
    <w:rsid w:val="0057291E"/>
    <w:rsid w:val="00572D1B"/>
    <w:rsid w:val="00572E55"/>
    <w:rsid w:val="00572E9B"/>
    <w:rsid w:val="0057308B"/>
    <w:rsid w:val="005730D0"/>
    <w:rsid w:val="005732DE"/>
    <w:rsid w:val="00573359"/>
    <w:rsid w:val="005733DC"/>
    <w:rsid w:val="0057345F"/>
    <w:rsid w:val="005734A6"/>
    <w:rsid w:val="005736A1"/>
    <w:rsid w:val="00573844"/>
    <w:rsid w:val="0057388E"/>
    <w:rsid w:val="00573EF3"/>
    <w:rsid w:val="00573EF7"/>
    <w:rsid w:val="00573FA9"/>
    <w:rsid w:val="00574081"/>
    <w:rsid w:val="005740C7"/>
    <w:rsid w:val="00574177"/>
    <w:rsid w:val="0057419D"/>
    <w:rsid w:val="005741B4"/>
    <w:rsid w:val="00574210"/>
    <w:rsid w:val="00574434"/>
    <w:rsid w:val="005746AC"/>
    <w:rsid w:val="005746E1"/>
    <w:rsid w:val="00574B05"/>
    <w:rsid w:val="00574C94"/>
    <w:rsid w:val="00574F04"/>
    <w:rsid w:val="00575136"/>
    <w:rsid w:val="00575172"/>
    <w:rsid w:val="005752D1"/>
    <w:rsid w:val="0057537F"/>
    <w:rsid w:val="00575473"/>
    <w:rsid w:val="005755BA"/>
    <w:rsid w:val="005758F7"/>
    <w:rsid w:val="00575964"/>
    <w:rsid w:val="005761FB"/>
    <w:rsid w:val="005763A2"/>
    <w:rsid w:val="005764D2"/>
    <w:rsid w:val="005765ED"/>
    <w:rsid w:val="00576809"/>
    <w:rsid w:val="00576A06"/>
    <w:rsid w:val="00576A68"/>
    <w:rsid w:val="00576B0B"/>
    <w:rsid w:val="00576BE5"/>
    <w:rsid w:val="00576C3E"/>
    <w:rsid w:val="00576FF1"/>
    <w:rsid w:val="0057710B"/>
    <w:rsid w:val="00577465"/>
    <w:rsid w:val="00577648"/>
    <w:rsid w:val="00577665"/>
    <w:rsid w:val="00577682"/>
    <w:rsid w:val="00577796"/>
    <w:rsid w:val="005779F5"/>
    <w:rsid w:val="00577B95"/>
    <w:rsid w:val="00577C69"/>
    <w:rsid w:val="00577EE5"/>
    <w:rsid w:val="00577F69"/>
    <w:rsid w:val="00580427"/>
    <w:rsid w:val="005804C3"/>
    <w:rsid w:val="0058051B"/>
    <w:rsid w:val="0058054E"/>
    <w:rsid w:val="00580565"/>
    <w:rsid w:val="00580811"/>
    <w:rsid w:val="0058094A"/>
    <w:rsid w:val="00580A67"/>
    <w:rsid w:val="00581278"/>
    <w:rsid w:val="00581358"/>
    <w:rsid w:val="00581696"/>
    <w:rsid w:val="005818F9"/>
    <w:rsid w:val="005819F5"/>
    <w:rsid w:val="00581B48"/>
    <w:rsid w:val="00581CCC"/>
    <w:rsid w:val="00581FA4"/>
    <w:rsid w:val="005820AB"/>
    <w:rsid w:val="0058211A"/>
    <w:rsid w:val="00582133"/>
    <w:rsid w:val="0058230D"/>
    <w:rsid w:val="0058240C"/>
    <w:rsid w:val="0058248B"/>
    <w:rsid w:val="00582774"/>
    <w:rsid w:val="00582856"/>
    <w:rsid w:val="0058291F"/>
    <w:rsid w:val="00582BB0"/>
    <w:rsid w:val="00582D78"/>
    <w:rsid w:val="005834E0"/>
    <w:rsid w:val="005835A0"/>
    <w:rsid w:val="00583692"/>
    <w:rsid w:val="005836DA"/>
    <w:rsid w:val="005837D5"/>
    <w:rsid w:val="005838AB"/>
    <w:rsid w:val="00583916"/>
    <w:rsid w:val="00583D38"/>
    <w:rsid w:val="00583DB5"/>
    <w:rsid w:val="00583E8B"/>
    <w:rsid w:val="00584590"/>
    <w:rsid w:val="005847B5"/>
    <w:rsid w:val="00584B5B"/>
    <w:rsid w:val="00584CBD"/>
    <w:rsid w:val="00585193"/>
    <w:rsid w:val="0058539E"/>
    <w:rsid w:val="005855DB"/>
    <w:rsid w:val="005860A2"/>
    <w:rsid w:val="0058611D"/>
    <w:rsid w:val="005862CA"/>
    <w:rsid w:val="00586C99"/>
    <w:rsid w:val="00586CCE"/>
    <w:rsid w:val="0058705A"/>
    <w:rsid w:val="00587128"/>
    <w:rsid w:val="0058721E"/>
    <w:rsid w:val="005872F5"/>
    <w:rsid w:val="00587460"/>
    <w:rsid w:val="00587650"/>
    <w:rsid w:val="005878B0"/>
    <w:rsid w:val="005879B2"/>
    <w:rsid w:val="00587B5F"/>
    <w:rsid w:val="00587CA6"/>
    <w:rsid w:val="00587FAA"/>
    <w:rsid w:val="005904EE"/>
    <w:rsid w:val="00590568"/>
    <w:rsid w:val="00590947"/>
    <w:rsid w:val="00590AA4"/>
    <w:rsid w:val="00590ACF"/>
    <w:rsid w:val="00590B21"/>
    <w:rsid w:val="00590D3E"/>
    <w:rsid w:val="00590E08"/>
    <w:rsid w:val="005912DE"/>
    <w:rsid w:val="0059170A"/>
    <w:rsid w:val="00591775"/>
    <w:rsid w:val="00591789"/>
    <w:rsid w:val="00591876"/>
    <w:rsid w:val="00591920"/>
    <w:rsid w:val="00591B30"/>
    <w:rsid w:val="00591BF8"/>
    <w:rsid w:val="00591BFD"/>
    <w:rsid w:val="00591DCE"/>
    <w:rsid w:val="00591EAD"/>
    <w:rsid w:val="00592200"/>
    <w:rsid w:val="005923E0"/>
    <w:rsid w:val="00592587"/>
    <w:rsid w:val="00592923"/>
    <w:rsid w:val="0059296B"/>
    <w:rsid w:val="00592A87"/>
    <w:rsid w:val="00592B4D"/>
    <w:rsid w:val="00592CE7"/>
    <w:rsid w:val="00592E43"/>
    <w:rsid w:val="005930BC"/>
    <w:rsid w:val="00593201"/>
    <w:rsid w:val="0059324C"/>
    <w:rsid w:val="0059339E"/>
    <w:rsid w:val="00593685"/>
    <w:rsid w:val="00593773"/>
    <w:rsid w:val="00593A9C"/>
    <w:rsid w:val="00593C40"/>
    <w:rsid w:val="00593F98"/>
    <w:rsid w:val="005943EC"/>
    <w:rsid w:val="005944E9"/>
    <w:rsid w:val="00594692"/>
    <w:rsid w:val="005949C6"/>
    <w:rsid w:val="005949E8"/>
    <w:rsid w:val="00594A2F"/>
    <w:rsid w:val="00594B1B"/>
    <w:rsid w:val="00594B87"/>
    <w:rsid w:val="00594BF2"/>
    <w:rsid w:val="00594ECD"/>
    <w:rsid w:val="00594F0E"/>
    <w:rsid w:val="00594F26"/>
    <w:rsid w:val="005950DD"/>
    <w:rsid w:val="0059520A"/>
    <w:rsid w:val="0059522D"/>
    <w:rsid w:val="005952B3"/>
    <w:rsid w:val="00595339"/>
    <w:rsid w:val="00595397"/>
    <w:rsid w:val="005953E2"/>
    <w:rsid w:val="00595423"/>
    <w:rsid w:val="00595654"/>
    <w:rsid w:val="00595973"/>
    <w:rsid w:val="005959E0"/>
    <w:rsid w:val="00595C2B"/>
    <w:rsid w:val="0059609B"/>
    <w:rsid w:val="0059636F"/>
    <w:rsid w:val="00596465"/>
    <w:rsid w:val="00596553"/>
    <w:rsid w:val="00596620"/>
    <w:rsid w:val="00596695"/>
    <w:rsid w:val="005966AE"/>
    <w:rsid w:val="0059672E"/>
    <w:rsid w:val="0059676D"/>
    <w:rsid w:val="00596781"/>
    <w:rsid w:val="00596879"/>
    <w:rsid w:val="00596974"/>
    <w:rsid w:val="00596B1A"/>
    <w:rsid w:val="00596B54"/>
    <w:rsid w:val="00596C74"/>
    <w:rsid w:val="00596DAC"/>
    <w:rsid w:val="00597099"/>
    <w:rsid w:val="00597130"/>
    <w:rsid w:val="005971DD"/>
    <w:rsid w:val="00597292"/>
    <w:rsid w:val="005973B7"/>
    <w:rsid w:val="0059747F"/>
    <w:rsid w:val="00597809"/>
    <w:rsid w:val="005978DF"/>
    <w:rsid w:val="0059798B"/>
    <w:rsid w:val="005979CA"/>
    <w:rsid w:val="00597C43"/>
    <w:rsid w:val="00597CF4"/>
    <w:rsid w:val="00597DF5"/>
    <w:rsid w:val="00597F22"/>
    <w:rsid w:val="00597F88"/>
    <w:rsid w:val="005A0043"/>
    <w:rsid w:val="005A0259"/>
    <w:rsid w:val="005A0316"/>
    <w:rsid w:val="005A035B"/>
    <w:rsid w:val="005A077C"/>
    <w:rsid w:val="005A090B"/>
    <w:rsid w:val="005A0B95"/>
    <w:rsid w:val="005A0EDF"/>
    <w:rsid w:val="005A134B"/>
    <w:rsid w:val="005A1359"/>
    <w:rsid w:val="005A1535"/>
    <w:rsid w:val="005A175B"/>
    <w:rsid w:val="005A1A56"/>
    <w:rsid w:val="005A1A64"/>
    <w:rsid w:val="005A1D49"/>
    <w:rsid w:val="005A1D4E"/>
    <w:rsid w:val="005A20D8"/>
    <w:rsid w:val="005A23FF"/>
    <w:rsid w:val="005A2452"/>
    <w:rsid w:val="005A2626"/>
    <w:rsid w:val="005A26E3"/>
    <w:rsid w:val="005A2797"/>
    <w:rsid w:val="005A2CB4"/>
    <w:rsid w:val="005A2DB2"/>
    <w:rsid w:val="005A3046"/>
    <w:rsid w:val="005A318A"/>
    <w:rsid w:val="005A331F"/>
    <w:rsid w:val="005A3478"/>
    <w:rsid w:val="005A35CA"/>
    <w:rsid w:val="005A360B"/>
    <w:rsid w:val="005A367D"/>
    <w:rsid w:val="005A36C4"/>
    <w:rsid w:val="005A381A"/>
    <w:rsid w:val="005A3C92"/>
    <w:rsid w:val="005A3DA6"/>
    <w:rsid w:val="005A4056"/>
    <w:rsid w:val="005A40C8"/>
    <w:rsid w:val="005A43C2"/>
    <w:rsid w:val="005A44AF"/>
    <w:rsid w:val="005A46F0"/>
    <w:rsid w:val="005A47B0"/>
    <w:rsid w:val="005A47C2"/>
    <w:rsid w:val="005A4AC9"/>
    <w:rsid w:val="005A4BFF"/>
    <w:rsid w:val="005A4C34"/>
    <w:rsid w:val="005A4D3D"/>
    <w:rsid w:val="005A5307"/>
    <w:rsid w:val="005A55A4"/>
    <w:rsid w:val="005A584E"/>
    <w:rsid w:val="005A5965"/>
    <w:rsid w:val="005A5C37"/>
    <w:rsid w:val="005A5CEC"/>
    <w:rsid w:val="005A5DDF"/>
    <w:rsid w:val="005A5E72"/>
    <w:rsid w:val="005A6202"/>
    <w:rsid w:val="005A62ED"/>
    <w:rsid w:val="005A6400"/>
    <w:rsid w:val="005A644C"/>
    <w:rsid w:val="005A650C"/>
    <w:rsid w:val="005A6513"/>
    <w:rsid w:val="005A657B"/>
    <w:rsid w:val="005A6787"/>
    <w:rsid w:val="005A682A"/>
    <w:rsid w:val="005A692A"/>
    <w:rsid w:val="005A6C0A"/>
    <w:rsid w:val="005A6C4A"/>
    <w:rsid w:val="005A6CC4"/>
    <w:rsid w:val="005A6D0B"/>
    <w:rsid w:val="005A6D2E"/>
    <w:rsid w:val="005A6DB5"/>
    <w:rsid w:val="005A6E1F"/>
    <w:rsid w:val="005A6EC1"/>
    <w:rsid w:val="005A700B"/>
    <w:rsid w:val="005A7098"/>
    <w:rsid w:val="005A7126"/>
    <w:rsid w:val="005A728D"/>
    <w:rsid w:val="005A73F0"/>
    <w:rsid w:val="005A7524"/>
    <w:rsid w:val="005A77D6"/>
    <w:rsid w:val="005A77E0"/>
    <w:rsid w:val="005A792C"/>
    <w:rsid w:val="005A795A"/>
    <w:rsid w:val="005A7992"/>
    <w:rsid w:val="005A7E86"/>
    <w:rsid w:val="005A7FC9"/>
    <w:rsid w:val="005B009B"/>
    <w:rsid w:val="005B036F"/>
    <w:rsid w:val="005B0479"/>
    <w:rsid w:val="005B0626"/>
    <w:rsid w:val="005B0837"/>
    <w:rsid w:val="005B0956"/>
    <w:rsid w:val="005B0CCE"/>
    <w:rsid w:val="005B0D39"/>
    <w:rsid w:val="005B0F20"/>
    <w:rsid w:val="005B0F29"/>
    <w:rsid w:val="005B0F3D"/>
    <w:rsid w:val="005B1778"/>
    <w:rsid w:val="005B17FD"/>
    <w:rsid w:val="005B183A"/>
    <w:rsid w:val="005B193F"/>
    <w:rsid w:val="005B1940"/>
    <w:rsid w:val="005B19F7"/>
    <w:rsid w:val="005B1CC4"/>
    <w:rsid w:val="005B1E80"/>
    <w:rsid w:val="005B1FB3"/>
    <w:rsid w:val="005B1FB8"/>
    <w:rsid w:val="005B1FD0"/>
    <w:rsid w:val="005B206B"/>
    <w:rsid w:val="005B2312"/>
    <w:rsid w:val="005B232F"/>
    <w:rsid w:val="005B25FA"/>
    <w:rsid w:val="005B27B7"/>
    <w:rsid w:val="005B2886"/>
    <w:rsid w:val="005B29E6"/>
    <w:rsid w:val="005B2A7C"/>
    <w:rsid w:val="005B2CAC"/>
    <w:rsid w:val="005B2D41"/>
    <w:rsid w:val="005B2FC9"/>
    <w:rsid w:val="005B3024"/>
    <w:rsid w:val="005B30A2"/>
    <w:rsid w:val="005B3176"/>
    <w:rsid w:val="005B32F2"/>
    <w:rsid w:val="005B339A"/>
    <w:rsid w:val="005B35C2"/>
    <w:rsid w:val="005B36A9"/>
    <w:rsid w:val="005B37A6"/>
    <w:rsid w:val="005B37CF"/>
    <w:rsid w:val="005B38DD"/>
    <w:rsid w:val="005B3AA0"/>
    <w:rsid w:val="005B3C96"/>
    <w:rsid w:val="005B3E64"/>
    <w:rsid w:val="005B419B"/>
    <w:rsid w:val="005B4212"/>
    <w:rsid w:val="005B46C6"/>
    <w:rsid w:val="005B4928"/>
    <w:rsid w:val="005B4941"/>
    <w:rsid w:val="005B4984"/>
    <w:rsid w:val="005B4AA3"/>
    <w:rsid w:val="005B4CBF"/>
    <w:rsid w:val="005B4D0E"/>
    <w:rsid w:val="005B4D33"/>
    <w:rsid w:val="005B5048"/>
    <w:rsid w:val="005B5061"/>
    <w:rsid w:val="005B5186"/>
    <w:rsid w:val="005B51B6"/>
    <w:rsid w:val="005B5313"/>
    <w:rsid w:val="005B5471"/>
    <w:rsid w:val="005B54E6"/>
    <w:rsid w:val="005B54EA"/>
    <w:rsid w:val="005B57CA"/>
    <w:rsid w:val="005B5B03"/>
    <w:rsid w:val="005B5D47"/>
    <w:rsid w:val="005B5D6E"/>
    <w:rsid w:val="005B5DA4"/>
    <w:rsid w:val="005B5F0D"/>
    <w:rsid w:val="005B5F47"/>
    <w:rsid w:val="005B60D8"/>
    <w:rsid w:val="005B6151"/>
    <w:rsid w:val="005B6196"/>
    <w:rsid w:val="005B6617"/>
    <w:rsid w:val="005B6685"/>
    <w:rsid w:val="005B6AC1"/>
    <w:rsid w:val="005B6AF3"/>
    <w:rsid w:val="005B6C48"/>
    <w:rsid w:val="005B6F97"/>
    <w:rsid w:val="005B735F"/>
    <w:rsid w:val="005B738E"/>
    <w:rsid w:val="005B7437"/>
    <w:rsid w:val="005B7566"/>
    <w:rsid w:val="005B7A46"/>
    <w:rsid w:val="005B7A8F"/>
    <w:rsid w:val="005B7B44"/>
    <w:rsid w:val="005B7BB0"/>
    <w:rsid w:val="005B7BFF"/>
    <w:rsid w:val="005B7D44"/>
    <w:rsid w:val="005B7DA0"/>
    <w:rsid w:val="005B7DCB"/>
    <w:rsid w:val="005B7ECB"/>
    <w:rsid w:val="005B7F2A"/>
    <w:rsid w:val="005C019F"/>
    <w:rsid w:val="005C0233"/>
    <w:rsid w:val="005C05EC"/>
    <w:rsid w:val="005C0625"/>
    <w:rsid w:val="005C06E7"/>
    <w:rsid w:val="005C074D"/>
    <w:rsid w:val="005C0AB2"/>
    <w:rsid w:val="005C0E11"/>
    <w:rsid w:val="005C10EB"/>
    <w:rsid w:val="005C10EE"/>
    <w:rsid w:val="005C1396"/>
    <w:rsid w:val="005C1436"/>
    <w:rsid w:val="005C175A"/>
    <w:rsid w:val="005C1789"/>
    <w:rsid w:val="005C17F8"/>
    <w:rsid w:val="005C1DD3"/>
    <w:rsid w:val="005C1FD7"/>
    <w:rsid w:val="005C217F"/>
    <w:rsid w:val="005C235D"/>
    <w:rsid w:val="005C2596"/>
    <w:rsid w:val="005C2B5D"/>
    <w:rsid w:val="005C2BDD"/>
    <w:rsid w:val="005C2CB9"/>
    <w:rsid w:val="005C2DB8"/>
    <w:rsid w:val="005C2F67"/>
    <w:rsid w:val="005C31C5"/>
    <w:rsid w:val="005C3200"/>
    <w:rsid w:val="005C337D"/>
    <w:rsid w:val="005C3417"/>
    <w:rsid w:val="005C34F5"/>
    <w:rsid w:val="005C3956"/>
    <w:rsid w:val="005C3C01"/>
    <w:rsid w:val="005C3DCD"/>
    <w:rsid w:val="005C3FC1"/>
    <w:rsid w:val="005C3FD3"/>
    <w:rsid w:val="005C40D8"/>
    <w:rsid w:val="005C417B"/>
    <w:rsid w:val="005C43C2"/>
    <w:rsid w:val="005C4784"/>
    <w:rsid w:val="005C49D0"/>
    <w:rsid w:val="005C4A84"/>
    <w:rsid w:val="005C4EF8"/>
    <w:rsid w:val="005C4F5C"/>
    <w:rsid w:val="005C4F80"/>
    <w:rsid w:val="005C5060"/>
    <w:rsid w:val="005C551F"/>
    <w:rsid w:val="005C576D"/>
    <w:rsid w:val="005C5B2A"/>
    <w:rsid w:val="005C5D92"/>
    <w:rsid w:val="005C5E50"/>
    <w:rsid w:val="005C5E70"/>
    <w:rsid w:val="005C5EA0"/>
    <w:rsid w:val="005C5EBC"/>
    <w:rsid w:val="005C5FAF"/>
    <w:rsid w:val="005C6179"/>
    <w:rsid w:val="005C61B8"/>
    <w:rsid w:val="005C6240"/>
    <w:rsid w:val="005C63BF"/>
    <w:rsid w:val="005C656B"/>
    <w:rsid w:val="005C65EA"/>
    <w:rsid w:val="005C6641"/>
    <w:rsid w:val="005C6661"/>
    <w:rsid w:val="005C66BA"/>
    <w:rsid w:val="005C683A"/>
    <w:rsid w:val="005C6898"/>
    <w:rsid w:val="005C6B72"/>
    <w:rsid w:val="005C6D76"/>
    <w:rsid w:val="005C7007"/>
    <w:rsid w:val="005C7452"/>
    <w:rsid w:val="005C76D6"/>
    <w:rsid w:val="005C779B"/>
    <w:rsid w:val="005C7C96"/>
    <w:rsid w:val="005C7D95"/>
    <w:rsid w:val="005C7DB2"/>
    <w:rsid w:val="005D02F9"/>
    <w:rsid w:val="005D038A"/>
    <w:rsid w:val="005D05BC"/>
    <w:rsid w:val="005D095A"/>
    <w:rsid w:val="005D0A31"/>
    <w:rsid w:val="005D0B56"/>
    <w:rsid w:val="005D0BF6"/>
    <w:rsid w:val="005D0CE2"/>
    <w:rsid w:val="005D1294"/>
    <w:rsid w:val="005D1315"/>
    <w:rsid w:val="005D1442"/>
    <w:rsid w:val="005D1451"/>
    <w:rsid w:val="005D14CD"/>
    <w:rsid w:val="005D1642"/>
    <w:rsid w:val="005D1654"/>
    <w:rsid w:val="005D1839"/>
    <w:rsid w:val="005D1A03"/>
    <w:rsid w:val="005D1D5D"/>
    <w:rsid w:val="005D1DB8"/>
    <w:rsid w:val="005D1E79"/>
    <w:rsid w:val="005D1F73"/>
    <w:rsid w:val="005D20BC"/>
    <w:rsid w:val="005D2272"/>
    <w:rsid w:val="005D24CD"/>
    <w:rsid w:val="005D2C06"/>
    <w:rsid w:val="005D2EAB"/>
    <w:rsid w:val="005D32AB"/>
    <w:rsid w:val="005D3A6F"/>
    <w:rsid w:val="005D3BD9"/>
    <w:rsid w:val="005D3C9F"/>
    <w:rsid w:val="005D3EA4"/>
    <w:rsid w:val="005D3EE8"/>
    <w:rsid w:val="005D4076"/>
    <w:rsid w:val="005D4107"/>
    <w:rsid w:val="005D4206"/>
    <w:rsid w:val="005D42F7"/>
    <w:rsid w:val="005D4306"/>
    <w:rsid w:val="005D4384"/>
    <w:rsid w:val="005D43B8"/>
    <w:rsid w:val="005D47AE"/>
    <w:rsid w:val="005D4C87"/>
    <w:rsid w:val="005D531F"/>
    <w:rsid w:val="005D5343"/>
    <w:rsid w:val="005D55F8"/>
    <w:rsid w:val="005D5919"/>
    <w:rsid w:val="005D5B5A"/>
    <w:rsid w:val="005D5BA5"/>
    <w:rsid w:val="005D5E26"/>
    <w:rsid w:val="005D6147"/>
    <w:rsid w:val="005D617B"/>
    <w:rsid w:val="005D61E0"/>
    <w:rsid w:val="005D63B0"/>
    <w:rsid w:val="005D65B0"/>
    <w:rsid w:val="005D69D0"/>
    <w:rsid w:val="005D6B3C"/>
    <w:rsid w:val="005D6BA9"/>
    <w:rsid w:val="005D6C6F"/>
    <w:rsid w:val="005D6F95"/>
    <w:rsid w:val="005D7022"/>
    <w:rsid w:val="005D751D"/>
    <w:rsid w:val="005D7921"/>
    <w:rsid w:val="005D7933"/>
    <w:rsid w:val="005D79DE"/>
    <w:rsid w:val="005D7CB0"/>
    <w:rsid w:val="005E011B"/>
    <w:rsid w:val="005E031F"/>
    <w:rsid w:val="005E0357"/>
    <w:rsid w:val="005E04EF"/>
    <w:rsid w:val="005E0506"/>
    <w:rsid w:val="005E0754"/>
    <w:rsid w:val="005E0761"/>
    <w:rsid w:val="005E07CF"/>
    <w:rsid w:val="005E0A2A"/>
    <w:rsid w:val="005E0CBE"/>
    <w:rsid w:val="005E0DC8"/>
    <w:rsid w:val="005E0E93"/>
    <w:rsid w:val="005E10C1"/>
    <w:rsid w:val="005E123D"/>
    <w:rsid w:val="005E12AE"/>
    <w:rsid w:val="005E1474"/>
    <w:rsid w:val="005E14C3"/>
    <w:rsid w:val="005E18CA"/>
    <w:rsid w:val="005E19BD"/>
    <w:rsid w:val="005E1AFF"/>
    <w:rsid w:val="005E1B84"/>
    <w:rsid w:val="005E1C2E"/>
    <w:rsid w:val="005E1D60"/>
    <w:rsid w:val="005E2148"/>
    <w:rsid w:val="005E23C9"/>
    <w:rsid w:val="005E25B5"/>
    <w:rsid w:val="005E27C3"/>
    <w:rsid w:val="005E292D"/>
    <w:rsid w:val="005E294B"/>
    <w:rsid w:val="005E2A58"/>
    <w:rsid w:val="005E2DCC"/>
    <w:rsid w:val="005E2EE6"/>
    <w:rsid w:val="005E3016"/>
    <w:rsid w:val="005E32A9"/>
    <w:rsid w:val="005E3339"/>
    <w:rsid w:val="005E33A8"/>
    <w:rsid w:val="005E34E4"/>
    <w:rsid w:val="005E3834"/>
    <w:rsid w:val="005E393D"/>
    <w:rsid w:val="005E3A61"/>
    <w:rsid w:val="005E3DA7"/>
    <w:rsid w:val="005E3ED8"/>
    <w:rsid w:val="005E418E"/>
    <w:rsid w:val="005E4284"/>
    <w:rsid w:val="005E42D0"/>
    <w:rsid w:val="005E4454"/>
    <w:rsid w:val="005E4561"/>
    <w:rsid w:val="005E4671"/>
    <w:rsid w:val="005E4937"/>
    <w:rsid w:val="005E49B9"/>
    <w:rsid w:val="005E49DF"/>
    <w:rsid w:val="005E49E6"/>
    <w:rsid w:val="005E4BFE"/>
    <w:rsid w:val="005E4D06"/>
    <w:rsid w:val="005E4F49"/>
    <w:rsid w:val="005E5059"/>
    <w:rsid w:val="005E5177"/>
    <w:rsid w:val="005E51AF"/>
    <w:rsid w:val="005E5297"/>
    <w:rsid w:val="005E5303"/>
    <w:rsid w:val="005E5362"/>
    <w:rsid w:val="005E53CF"/>
    <w:rsid w:val="005E58CC"/>
    <w:rsid w:val="005E5FCA"/>
    <w:rsid w:val="005E608B"/>
    <w:rsid w:val="005E608C"/>
    <w:rsid w:val="005E6135"/>
    <w:rsid w:val="005E640A"/>
    <w:rsid w:val="005E646A"/>
    <w:rsid w:val="005E6699"/>
    <w:rsid w:val="005E6754"/>
    <w:rsid w:val="005E69E3"/>
    <w:rsid w:val="005E6C5B"/>
    <w:rsid w:val="005E6EFE"/>
    <w:rsid w:val="005E6F0A"/>
    <w:rsid w:val="005E6F5C"/>
    <w:rsid w:val="005E71AA"/>
    <w:rsid w:val="005E71B3"/>
    <w:rsid w:val="005E7283"/>
    <w:rsid w:val="005E7314"/>
    <w:rsid w:val="005E7840"/>
    <w:rsid w:val="005F01E9"/>
    <w:rsid w:val="005F0284"/>
    <w:rsid w:val="005F074D"/>
    <w:rsid w:val="005F0A59"/>
    <w:rsid w:val="005F0AAC"/>
    <w:rsid w:val="005F0C5C"/>
    <w:rsid w:val="005F0CE3"/>
    <w:rsid w:val="005F0DD3"/>
    <w:rsid w:val="005F1118"/>
    <w:rsid w:val="005F11EF"/>
    <w:rsid w:val="005F1585"/>
    <w:rsid w:val="005F185F"/>
    <w:rsid w:val="005F1A72"/>
    <w:rsid w:val="005F1B65"/>
    <w:rsid w:val="005F2358"/>
    <w:rsid w:val="005F235A"/>
    <w:rsid w:val="005F2569"/>
    <w:rsid w:val="005F2C70"/>
    <w:rsid w:val="005F3058"/>
    <w:rsid w:val="005F3157"/>
    <w:rsid w:val="005F32E6"/>
    <w:rsid w:val="005F32FA"/>
    <w:rsid w:val="005F3335"/>
    <w:rsid w:val="005F33E7"/>
    <w:rsid w:val="005F3A6F"/>
    <w:rsid w:val="005F3B36"/>
    <w:rsid w:val="005F3C23"/>
    <w:rsid w:val="005F3F8E"/>
    <w:rsid w:val="005F402B"/>
    <w:rsid w:val="005F432A"/>
    <w:rsid w:val="005F4364"/>
    <w:rsid w:val="005F4433"/>
    <w:rsid w:val="005F4497"/>
    <w:rsid w:val="005F45C3"/>
    <w:rsid w:val="005F4696"/>
    <w:rsid w:val="005F477D"/>
    <w:rsid w:val="005F484E"/>
    <w:rsid w:val="005F4BB4"/>
    <w:rsid w:val="005F4BC5"/>
    <w:rsid w:val="005F4D2D"/>
    <w:rsid w:val="005F4E1E"/>
    <w:rsid w:val="005F4FC5"/>
    <w:rsid w:val="005F50B0"/>
    <w:rsid w:val="005F5198"/>
    <w:rsid w:val="005F570A"/>
    <w:rsid w:val="005F57D2"/>
    <w:rsid w:val="005F595B"/>
    <w:rsid w:val="005F5AD8"/>
    <w:rsid w:val="005F5F00"/>
    <w:rsid w:val="005F635E"/>
    <w:rsid w:val="005F63DD"/>
    <w:rsid w:val="005F67DD"/>
    <w:rsid w:val="005F68CD"/>
    <w:rsid w:val="005F6974"/>
    <w:rsid w:val="005F69AC"/>
    <w:rsid w:val="005F6A98"/>
    <w:rsid w:val="005F6C44"/>
    <w:rsid w:val="005F6E32"/>
    <w:rsid w:val="005F6E43"/>
    <w:rsid w:val="005F706A"/>
    <w:rsid w:val="005F7100"/>
    <w:rsid w:val="005F7193"/>
    <w:rsid w:val="005F72AB"/>
    <w:rsid w:val="005F7397"/>
    <w:rsid w:val="005F749F"/>
    <w:rsid w:val="005F76E5"/>
    <w:rsid w:val="005F7705"/>
    <w:rsid w:val="005F7823"/>
    <w:rsid w:val="005F79C4"/>
    <w:rsid w:val="005F7BA0"/>
    <w:rsid w:val="005F7E02"/>
    <w:rsid w:val="006000FF"/>
    <w:rsid w:val="0060018B"/>
    <w:rsid w:val="006001C7"/>
    <w:rsid w:val="0060045C"/>
    <w:rsid w:val="00600677"/>
    <w:rsid w:val="006009E1"/>
    <w:rsid w:val="00600B1D"/>
    <w:rsid w:val="00600CC7"/>
    <w:rsid w:val="00600DA6"/>
    <w:rsid w:val="00600F02"/>
    <w:rsid w:val="00600F35"/>
    <w:rsid w:val="00601034"/>
    <w:rsid w:val="006011E0"/>
    <w:rsid w:val="006013B7"/>
    <w:rsid w:val="006013C7"/>
    <w:rsid w:val="006013CA"/>
    <w:rsid w:val="006017E1"/>
    <w:rsid w:val="00601819"/>
    <w:rsid w:val="00601947"/>
    <w:rsid w:val="00601EA0"/>
    <w:rsid w:val="00601ECB"/>
    <w:rsid w:val="0060210A"/>
    <w:rsid w:val="00602199"/>
    <w:rsid w:val="006023B2"/>
    <w:rsid w:val="0060260A"/>
    <w:rsid w:val="0060279E"/>
    <w:rsid w:val="00602ADA"/>
    <w:rsid w:val="00602DF7"/>
    <w:rsid w:val="00602F63"/>
    <w:rsid w:val="00603097"/>
    <w:rsid w:val="006033B6"/>
    <w:rsid w:val="006033EF"/>
    <w:rsid w:val="006037AA"/>
    <w:rsid w:val="00603829"/>
    <w:rsid w:val="006038B6"/>
    <w:rsid w:val="00603998"/>
    <w:rsid w:val="006039FD"/>
    <w:rsid w:val="00603A70"/>
    <w:rsid w:val="00603AAB"/>
    <w:rsid w:val="00603B4D"/>
    <w:rsid w:val="00603F7A"/>
    <w:rsid w:val="00603F90"/>
    <w:rsid w:val="00603F9A"/>
    <w:rsid w:val="006045E3"/>
    <w:rsid w:val="0060466A"/>
    <w:rsid w:val="0060487D"/>
    <w:rsid w:val="006048BC"/>
    <w:rsid w:val="00604988"/>
    <w:rsid w:val="00604A07"/>
    <w:rsid w:val="00604ABA"/>
    <w:rsid w:val="00604BDA"/>
    <w:rsid w:val="00604EF6"/>
    <w:rsid w:val="00605096"/>
    <w:rsid w:val="006050AD"/>
    <w:rsid w:val="00605160"/>
    <w:rsid w:val="0060529D"/>
    <w:rsid w:val="00605461"/>
    <w:rsid w:val="00605472"/>
    <w:rsid w:val="00605596"/>
    <w:rsid w:val="0060566D"/>
    <w:rsid w:val="006056EC"/>
    <w:rsid w:val="006057AF"/>
    <w:rsid w:val="00605914"/>
    <w:rsid w:val="00605979"/>
    <w:rsid w:val="00605A71"/>
    <w:rsid w:val="00605CCD"/>
    <w:rsid w:val="00605F86"/>
    <w:rsid w:val="00605FF5"/>
    <w:rsid w:val="00606041"/>
    <w:rsid w:val="0060605B"/>
    <w:rsid w:val="0060619E"/>
    <w:rsid w:val="00606305"/>
    <w:rsid w:val="0060637D"/>
    <w:rsid w:val="006065A0"/>
    <w:rsid w:val="0060668A"/>
    <w:rsid w:val="00606720"/>
    <w:rsid w:val="006067E1"/>
    <w:rsid w:val="00606C0C"/>
    <w:rsid w:val="00606D1C"/>
    <w:rsid w:val="00607411"/>
    <w:rsid w:val="00607414"/>
    <w:rsid w:val="006075B2"/>
    <w:rsid w:val="006075E2"/>
    <w:rsid w:val="00607618"/>
    <w:rsid w:val="00607632"/>
    <w:rsid w:val="006077B5"/>
    <w:rsid w:val="00607B70"/>
    <w:rsid w:val="00607CBE"/>
    <w:rsid w:val="006100E9"/>
    <w:rsid w:val="00610236"/>
    <w:rsid w:val="0061058C"/>
    <w:rsid w:val="006106EE"/>
    <w:rsid w:val="00610991"/>
    <w:rsid w:val="00610BC8"/>
    <w:rsid w:val="00610CE3"/>
    <w:rsid w:val="00610EE0"/>
    <w:rsid w:val="00611156"/>
    <w:rsid w:val="00611167"/>
    <w:rsid w:val="00611471"/>
    <w:rsid w:val="00611652"/>
    <w:rsid w:val="006117A2"/>
    <w:rsid w:val="006117DA"/>
    <w:rsid w:val="00611B24"/>
    <w:rsid w:val="00611BCA"/>
    <w:rsid w:val="00611C91"/>
    <w:rsid w:val="00611D23"/>
    <w:rsid w:val="00611D59"/>
    <w:rsid w:val="006120DD"/>
    <w:rsid w:val="006120F7"/>
    <w:rsid w:val="00612399"/>
    <w:rsid w:val="006124AC"/>
    <w:rsid w:val="00612577"/>
    <w:rsid w:val="0061271D"/>
    <w:rsid w:val="006128D5"/>
    <w:rsid w:val="00612AC6"/>
    <w:rsid w:val="00612C3D"/>
    <w:rsid w:val="00612DBA"/>
    <w:rsid w:val="00612E2B"/>
    <w:rsid w:val="00612E79"/>
    <w:rsid w:val="006130AE"/>
    <w:rsid w:val="006135D4"/>
    <w:rsid w:val="00613644"/>
    <w:rsid w:val="006136FF"/>
    <w:rsid w:val="00613A6E"/>
    <w:rsid w:val="00613A7D"/>
    <w:rsid w:val="00613B57"/>
    <w:rsid w:val="00613B78"/>
    <w:rsid w:val="00613B82"/>
    <w:rsid w:val="00613D2E"/>
    <w:rsid w:val="00613D7A"/>
    <w:rsid w:val="00613E80"/>
    <w:rsid w:val="00614075"/>
    <w:rsid w:val="0061468F"/>
    <w:rsid w:val="0061472F"/>
    <w:rsid w:val="00614845"/>
    <w:rsid w:val="00614925"/>
    <w:rsid w:val="0061497C"/>
    <w:rsid w:val="006149B1"/>
    <w:rsid w:val="006149B4"/>
    <w:rsid w:val="00614BEC"/>
    <w:rsid w:val="0061530C"/>
    <w:rsid w:val="00615715"/>
    <w:rsid w:val="00615A45"/>
    <w:rsid w:val="00615A5B"/>
    <w:rsid w:val="00615D4A"/>
    <w:rsid w:val="0061650F"/>
    <w:rsid w:val="00616A30"/>
    <w:rsid w:val="00616B06"/>
    <w:rsid w:val="00616B0C"/>
    <w:rsid w:val="00616B7C"/>
    <w:rsid w:val="00616E5A"/>
    <w:rsid w:val="00616EE3"/>
    <w:rsid w:val="00616F81"/>
    <w:rsid w:val="00617430"/>
    <w:rsid w:val="00617514"/>
    <w:rsid w:val="006177D4"/>
    <w:rsid w:val="00617A0A"/>
    <w:rsid w:val="00617D59"/>
    <w:rsid w:val="0062003C"/>
    <w:rsid w:val="0062010F"/>
    <w:rsid w:val="006203C2"/>
    <w:rsid w:val="00620419"/>
    <w:rsid w:val="0062058D"/>
    <w:rsid w:val="006207A1"/>
    <w:rsid w:val="0062080A"/>
    <w:rsid w:val="006208FC"/>
    <w:rsid w:val="00620A9A"/>
    <w:rsid w:val="00620B31"/>
    <w:rsid w:val="00620C49"/>
    <w:rsid w:val="00620F70"/>
    <w:rsid w:val="00621024"/>
    <w:rsid w:val="0062147D"/>
    <w:rsid w:val="00621866"/>
    <w:rsid w:val="006219FD"/>
    <w:rsid w:val="00621B36"/>
    <w:rsid w:val="00621BCE"/>
    <w:rsid w:val="00621D9C"/>
    <w:rsid w:val="00621E3F"/>
    <w:rsid w:val="00621E61"/>
    <w:rsid w:val="00622037"/>
    <w:rsid w:val="00622189"/>
    <w:rsid w:val="006221B0"/>
    <w:rsid w:val="006224B3"/>
    <w:rsid w:val="006225DF"/>
    <w:rsid w:val="0062260D"/>
    <w:rsid w:val="00622779"/>
    <w:rsid w:val="00622918"/>
    <w:rsid w:val="00622BA1"/>
    <w:rsid w:val="00622C17"/>
    <w:rsid w:val="00622CF9"/>
    <w:rsid w:val="0062303A"/>
    <w:rsid w:val="006233E6"/>
    <w:rsid w:val="00623458"/>
    <w:rsid w:val="0062382E"/>
    <w:rsid w:val="006238D9"/>
    <w:rsid w:val="00623CDA"/>
    <w:rsid w:val="00623F05"/>
    <w:rsid w:val="00623F7C"/>
    <w:rsid w:val="006240CF"/>
    <w:rsid w:val="0062416C"/>
    <w:rsid w:val="0062421C"/>
    <w:rsid w:val="006245DC"/>
    <w:rsid w:val="006246C2"/>
    <w:rsid w:val="006248BE"/>
    <w:rsid w:val="00624B33"/>
    <w:rsid w:val="00624F76"/>
    <w:rsid w:val="00624FF0"/>
    <w:rsid w:val="00625591"/>
    <w:rsid w:val="006255FB"/>
    <w:rsid w:val="0062571E"/>
    <w:rsid w:val="00625DB3"/>
    <w:rsid w:val="00625DCD"/>
    <w:rsid w:val="00626194"/>
    <w:rsid w:val="006262A9"/>
    <w:rsid w:val="006262FE"/>
    <w:rsid w:val="006263B3"/>
    <w:rsid w:val="006263CA"/>
    <w:rsid w:val="006264FC"/>
    <w:rsid w:val="006265E4"/>
    <w:rsid w:val="00626619"/>
    <w:rsid w:val="00626627"/>
    <w:rsid w:val="0062665F"/>
    <w:rsid w:val="0062687C"/>
    <w:rsid w:val="006268B7"/>
    <w:rsid w:val="0062697B"/>
    <w:rsid w:val="00626A65"/>
    <w:rsid w:val="00626EE0"/>
    <w:rsid w:val="00627081"/>
    <w:rsid w:val="00627368"/>
    <w:rsid w:val="00627849"/>
    <w:rsid w:val="006278FF"/>
    <w:rsid w:val="00627906"/>
    <w:rsid w:val="00627983"/>
    <w:rsid w:val="00627E26"/>
    <w:rsid w:val="00627EB6"/>
    <w:rsid w:val="00627FE8"/>
    <w:rsid w:val="006303B7"/>
    <w:rsid w:val="0063063C"/>
    <w:rsid w:val="006306F2"/>
    <w:rsid w:val="0063079A"/>
    <w:rsid w:val="006307D2"/>
    <w:rsid w:val="006309CF"/>
    <w:rsid w:val="00630C0E"/>
    <w:rsid w:val="00630D93"/>
    <w:rsid w:val="00630E0C"/>
    <w:rsid w:val="00631035"/>
    <w:rsid w:val="0063112F"/>
    <w:rsid w:val="006311D9"/>
    <w:rsid w:val="006312B5"/>
    <w:rsid w:val="006312EF"/>
    <w:rsid w:val="0063136B"/>
    <w:rsid w:val="0063138A"/>
    <w:rsid w:val="00631515"/>
    <w:rsid w:val="00631778"/>
    <w:rsid w:val="0063179B"/>
    <w:rsid w:val="006318CD"/>
    <w:rsid w:val="00631AA5"/>
    <w:rsid w:val="00631B40"/>
    <w:rsid w:val="00631DF9"/>
    <w:rsid w:val="00632048"/>
    <w:rsid w:val="0063216B"/>
    <w:rsid w:val="00632275"/>
    <w:rsid w:val="0063234F"/>
    <w:rsid w:val="00632803"/>
    <w:rsid w:val="0063282A"/>
    <w:rsid w:val="00632ABC"/>
    <w:rsid w:val="00632B53"/>
    <w:rsid w:val="00632BF5"/>
    <w:rsid w:val="00632CBE"/>
    <w:rsid w:val="00632DEF"/>
    <w:rsid w:val="00633197"/>
    <w:rsid w:val="006332DA"/>
    <w:rsid w:val="00633402"/>
    <w:rsid w:val="0063350D"/>
    <w:rsid w:val="006336F5"/>
    <w:rsid w:val="006337A0"/>
    <w:rsid w:val="00633A1E"/>
    <w:rsid w:val="00633ABD"/>
    <w:rsid w:val="00633BB8"/>
    <w:rsid w:val="00633C9F"/>
    <w:rsid w:val="00633D8E"/>
    <w:rsid w:val="00634162"/>
    <w:rsid w:val="00634252"/>
    <w:rsid w:val="0063426E"/>
    <w:rsid w:val="006342E0"/>
    <w:rsid w:val="006345BC"/>
    <w:rsid w:val="00634780"/>
    <w:rsid w:val="006349D7"/>
    <w:rsid w:val="006350E0"/>
    <w:rsid w:val="00635261"/>
    <w:rsid w:val="006353C6"/>
    <w:rsid w:val="0063545B"/>
    <w:rsid w:val="006356D8"/>
    <w:rsid w:val="0063575A"/>
    <w:rsid w:val="00635956"/>
    <w:rsid w:val="00635970"/>
    <w:rsid w:val="006359E7"/>
    <w:rsid w:val="006359FD"/>
    <w:rsid w:val="00635ED5"/>
    <w:rsid w:val="00635F97"/>
    <w:rsid w:val="0063648B"/>
    <w:rsid w:val="0063677E"/>
    <w:rsid w:val="00636787"/>
    <w:rsid w:val="00636967"/>
    <w:rsid w:val="00636D6B"/>
    <w:rsid w:val="00637146"/>
    <w:rsid w:val="00637268"/>
    <w:rsid w:val="00637408"/>
    <w:rsid w:val="0063763D"/>
    <w:rsid w:val="0063793B"/>
    <w:rsid w:val="00637AA0"/>
    <w:rsid w:val="0064010A"/>
    <w:rsid w:val="006401A0"/>
    <w:rsid w:val="00640269"/>
    <w:rsid w:val="00640724"/>
    <w:rsid w:val="00640BBC"/>
    <w:rsid w:val="00640C97"/>
    <w:rsid w:val="00640EFA"/>
    <w:rsid w:val="0064124C"/>
    <w:rsid w:val="0064167B"/>
    <w:rsid w:val="00641734"/>
    <w:rsid w:val="00641B0C"/>
    <w:rsid w:val="00641C70"/>
    <w:rsid w:val="00641CBA"/>
    <w:rsid w:val="00641E71"/>
    <w:rsid w:val="00641F3E"/>
    <w:rsid w:val="00641F90"/>
    <w:rsid w:val="00642142"/>
    <w:rsid w:val="006423E4"/>
    <w:rsid w:val="00642462"/>
    <w:rsid w:val="006424DD"/>
    <w:rsid w:val="00642559"/>
    <w:rsid w:val="00642603"/>
    <w:rsid w:val="00642B61"/>
    <w:rsid w:val="00642BB5"/>
    <w:rsid w:val="00642D03"/>
    <w:rsid w:val="00642DEE"/>
    <w:rsid w:val="00642F76"/>
    <w:rsid w:val="006430B9"/>
    <w:rsid w:val="00643499"/>
    <w:rsid w:val="006434BB"/>
    <w:rsid w:val="006435B9"/>
    <w:rsid w:val="00643976"/>
    <w:rsid w:val="00643A5B"/>
    <w:rsid w:val="00643A97"/>
    <w:rsid w:val="00643B9F"/>
    <w:rsid w:val="00643D0A"/>
    <w:rsid w:val="00643E80"/>
    <w:rsid w:val="00643EC7"/>
    <w:rsid w:val="00643F74"/>
    <w:rsid w:val="00644198"/>
    <w:rsid w:val="0064428F"/>
    <w:rsid w:val="006443AC"/>
    <w:rsid w:val="006448E6"/>
    <w:rsid w:val="00644A51"/>
    <w:rsid w:val="00644AAA"/>
    <w:rsid w:val="00644B17"/>
    <w:rsid w:val="00644C0C"/>
    <w:rsid w:val="00644C27"/>
    <w:rsid w:val="00644C7E"/>
    <w:rsid w:val="00644C9E"/>
    <w:rsid w:val="006452F5"/>
    <w:rsid w:val="006455F0"/>
    <w:rsid w:val="00645721"/>
    <w:rsid w:val="00645975"/>
    <w:rsid w:val="00645C3A"/>
    <w:rsid w:val="00645E7E"/>
    <w:rsid w:val="00645FB7"/>
    <w:rsid w:val="00646054"/>
    <w:rsid w:val="0064630E"/>
    <w:rsid w:val="0064672A"/>
    <w:rsid w:val="00646791"/>
    <w:rsid w:val="00646ADB"/>
    <w:rsid w:val="00646E48"/>
    <w:rsid w:val="00646F05"/>
    <w:rsid w:val="00647366"/>
    <w:rsid w:val="00647598"/>
    <w:rsid w:val="006475FB"/>
    <w:rsid w:val="00647612"/>
    <w:rsid w:val="006477F2"/>
    <w:rsid w:val="00647AE9"/>
    <w:rsid w:val="00647BF3"/>
    <w:rsid w:val="00647BF4"/>
    <w:rsid w:val="00647C3A"/>
    <w:rsid w:val="00647D07"/>
    <w:rsid w:val="00647F74"/>
    <w:rsid w:val="00650477"/>
    <w:rsid w:val="00650634"/>
    <w:rsid w:val="0065077D"/>
    <w:rsid w:val="006507CC"/>
    <w:rsid w:val="00650A48"/>
    <w:rsid w:val="00650B5D"/>
    <w:rsid w:val="00650C24"/>
    <w:rsid w:val="00650C31"/>
    <w:rsid w:val="00650E22"/>
    <w:rsid w:val="00651055"/>
    <w:rsid w:val="0065110A"/>
    <w:rsid w:val="00651384"/>
    <w:rsid w:val="0065141F"/>
    <w:rsid w:val="00651442"/>
    <w:rsid w:val="00651586"/>
    <w:rsid w:val="00651814"/>
    <w:rsid w:val="00651A1E"/>
    <w:rsid w:val="00651A31"/>
    <w:rsid w:val="00651B54"/>
    <w:rsid w:val="00651DCA"/>
    <w:rsid w:val="00651DF4"/>
    <w:rsid w:val="00651E60"/>
    <w:rsid w:val="00651E9B"/>
    <w:rsid w:val="00652021"/>
    <w:rsid w:val="0065209D"/>
    <w:rsid w:val="006520C7"/>
    <w:rsid w:val="0065223C"/>
    <w:rsid w:val="006524DF"/>
    <w:rsid w:val="006529F1"/>
    <w:rsid w:val="00652AED"/>
    <w:rsid w:val="00652E3B"/>
    <w:rsid w:val="00652F12"/>
    <w:rsid w:val="00653002"/>
    <w:rsid w:val="006530B7"/>
    <w:rsid w:val="006531A2"/>
    <w:rsid w:val="006531B7"/>
    <w:rsid w:val="006531FB"/>
    <w:rsid w:val="006533A2"/>
    <w:rsid w:val="00653457"/>
    <w:rsid w:val="0065346F"/>
    <w:rsid w:val="006534A5"/>
    <w:rsid w:val="00653571"/>
    <w:rsid w:val="00653581"/>
    <w:rsid w:val="006539A8"/>
    <w:rsid w:val="00653CE3"/>
    <w:rsid w:val="00653CEE"/>
    <w:rsid w:val="00653DC3"/>
    <w:rsid w:val="00653E17"/>
    <w:rsid w:val="00653F32"/>
    <w:rsid w:val="0065404B"/>
    <w:rsid w:val="0065414B"/>
    <w:rsid w:val="0065450C"/>
    <w:rsid w:val="00654569"/>
    <w:rsid w:val="0065471D"/>
    <w:rsid w:val="00654ACA"/>
    <w:rsid w:val="00654BFB"/>
    <w:rsid w:val="00654C10"/>
    <w:rsid w:val="00654E09"/>
    <w:rsid w:val="00654FAB"/>
    <w:rsid w:val="006550F6"/>
    <w:rsid w:val="00655117"/>
    <w:rsid w:val="0065529F"/>
    <w:rsid w:val="006555D5"/>
    <w:rsid w:val="006556F9"/>
    <w:rsid w:val="0065583E"/>
    <w:rsid w:val="006559FB"/>
    <w:rsid w:val="00655AA9"/>
    <w:rsid w:val="00655B82"/>
    <w:rsid w:val="00655C0E"/>
    <w:rsid w:val="00655D12"/>
    <w:rsid w:val="0065607B"/>
    <w:rsid w:val="006560F7"/>
    <w:rsid w:val="006562F2"/>
    <w:rsid w:val="006563A2"/>
    <w:rsid w:val="006563AB"/>
    <w:rsid w:val="00656534"/>
    <w:rsid w:val="00656968"/>
    <w:rsid w:val="00656AE4"/>
    <w:rsid w:val="00656BBF"/>
    <w:rsid w:val="00656BEB"/>
    <w:rsid w:val="00656CEA"/>
    <w:rsid w:val="00656D14"/>
    <w:rsid w:val="00656FBE"/>
    <w:rsid w:val="00656FC2"/>
    <w:rsid w:val="006572EE"/>
    <w:rsid w:val="00657502"/>
    <w:rsid w:val="00657631"/>
    <w:rsid w:val="00657743"/>
    <w:rsid w:val="00657845"/>
    <w:rsid w:val="006578B9"/>
    <w:rsid w:val="00657B11"/>
    <w:rsid w:val="00657C78"/>
    <w:rsid w:val="00657DB7"/>
    <w:rsid w:val="00657DD1"/>
    <w:rsid w:val="0066005F"/>
    <w:rsid w:val="00660096"/>
    <w:rsid w:val="006600C9"/>
    <w:rsid w:val="0066012D"/>
    <w:rsid w:val="006605DD"/>
    <w:rsid w:val="006605FD"/>
    <w:rsid w:val="00660608"/>
    <w:rsid w:val="006606F1"/>
    <w:rsid w:val="00660727"/>
    <w:rsid w:val="00660836"/>
    <w:rsid w:val="006609F6"/>
    <w:rsid w:val="00660AB1"/>
    <w:rsid w:val="00660C45"/>
    <w:rsid w:val="00660D57"/>
    <w:rsid w:val="00660DD2"/>
    <w:rsid w:val="00660E09"/>
    <w:rsid w:val="00660E42"/>
    <w:rsid w:val="00661109"/>
    <w:rsid w:val="0066154C"/>
    <w:rsid w:val="006615D4"/>
    <w:rsid w:val="006616F5"/>
    <w:rsid w:val="00661A1B"/>
    <w:rsid w:val="00661A27"/>
    <w:rsid w:val="00661BD3"/>
    <w:rsid w:val="00661D04"/>
    <w:rsid w:val="006621D9"/>
    <w:rsid w:val="0066227B"/>
    <w:rsid w:val="006623D1"/>
    <w:rsid w:val="006624B9"/>
    <w:rsid w:val="006628BE"/>
    <w:rsid w:val="00662972"/>
    <w:rsid w:val="00662A8B"/>
    <w:rsid w:val="00662B16"/>
    <w:rsid w:val="00662DF4"/>
    <w:rsid w:val="00662EF0"/>
    <w:rsid w:val="006635D3"/>
    <w:rsid w:val="0066372E"/>
    <w:rsid w:val="0066392C"/>
    <w:rsid w:val="0066398B"/>
    <w:rsid w:val="00663A80"/>
    <w:rsid w:val="00663CBD"/>
    <w:rsid w:val="00663DE6"/>
    <w:rsid w:val="00664010"/>
    <w:rsid w:val="006640CC"/>
    <w:rsid w:val="006641FE"/>
    <w:rsid w:val="006647C3"/>
    <w:rsid w:val="00664917"/>
    <w:rsid w:val="006653CE"/>
    <w:rsid w:val="006659CB"/>
    <w:rsid w:val="00665B3C"/>
    <w:rsid w:val="00665C73"/>
    <w:rsid w:val="00665E6A"/>
    <w:rsid w:val="006664BC"/>
    <w:rsid w:val="00666642"/>
    <w:rsid w:val="006669BC"/>
    <w:rsid w:val="00666AE4"/>
    <w:rsid w:val="00666CCF"/>
    <w:rsid w:val="00666D37"/>
    <w:rsid w:val="00666D68"/>
    <w:rsid w:val="00666F82"/>
    <w:rsid w:val="0066700D"/>
    <w:rsid w:val="00667094"/>
    <w:rsid w:val="006670DE"/>
    <w:rsid w:val="00667287"/>
    <w:rsid w:val="0066731C"/>
    <w:rsid w:val="00667374"/>
    <w:rsid w:val="0066769A"/>
    <w:rsid w:val="00667BCA"/>
    <w:rsid w:val="00667D6E"/>
    <w:rsid w:val="00667E0B"/>
    <w:rsid w:val="0067001D"/>
    <w:rsid w:val="00670051"/>
    <w:rsid w:val="00670068"/>
    <w:rsid w:val="00670372"/>
    <w:rsid w:val="006703D8"/>
    <w:rsid w:val="006703E5"/>
    <w:rsid w:val="006704CB"/>
    <w:rsid w:val="006704F8"/>
    <w:rsid w:val="00670534"/>
    <w:rsid w:val="00670751"/>
    <w:rsid w:val="00670B2F"/>
    <w:rsid w:val="00670CBB"/>
    <w:rsid w:val="00670CCB"/>
    <w:rsid w:val="00670D54"/>
    <w:rsid w:val="00670DA8"/>
    <w:rsid w:val="00670FB2"/>
    <w:rsid w:val="00671004"/>
    <w:rsid w:val="00671778"/>
    <w:rsid w:val="00671901"/>
    <w:rsid w:val="00671A91"/>
    <w:rsid w:val="00671BC1"/>
    <w:rsid w:val="00671BE3"/>
    <w:rsid w:val="00671CC0"/>
    <w:rsid w:val="00671CE9"/>
    <w:rsid w:val="00671DB8"/>
    <w:rsid w:val="0067226D"/>
    <w:rsid w:val="0067232D"/>
    <w:rsid w:val="006725D5"/>
    <w:rsid w:val="006726A1"/>
    <w:rsid w:val="006728E6"/>
    <w:rsid w:val="00672904"/>
    <w:rsid w:val="00672942"/>
    <w:rsid w:val="00672AFA"/>
    <w:rsid w:val="00672F33"/>
    <w:rsid w:val="00672FC4"/>
    <w:rsid w:val="0067344D"/>
    <w:rsid w:val="00673655"/>
    <w:rsid w:val="0067376D"/>
    <w:rsid w:val="006739E0"/>
    <w:rsid w:val="00673A5A"/>
    <w:rsid w:val="00673AA6"/>
    <w:rsid w:val="00673BA3"/>
    <w:rsid w:val="00673C9B"/>
    <w:rsid w:val="00673C9E"/>
    <w:rsid w:val="00673D47"/>
    <w:rsid w:val="00673D78"/>
    <w:rsid w:val="00673E46"/>
    <w:rsid w:val="00673E9F"/>
    <w:rsid w:val="00673ED0"/>
    <w:rsid w:val="00673EDA"/>
    <w:rsid w:val="0067430E"/>
    <w:rsid w:val="00674359"/>
    <w:rsid w:val="00674830"/>
    <w:rsid w:val="00674AE0"/>
    <w:rsid w:val="00674AEA"/>
    <w:rsid w:val="00674D39"/>
    <w:rsid w:val="00674EF6"/>
    <w:rsid w:val="006752E2"/>
    <w:rsid w:val="006753E3"/>
    <w:rsid w:val="006758A3"/>
    <w:rsid w:val="0067598B"/>
    <w:rsid w:val="00675E8F"/>
    <w:rsid w:val="00675FF2"/>
    <w:rsid w:val="006760CC"/>
    <w:rsid w:val="006761BC"/>
    <w:rsid w:val="00676254"/>
    <w:rsid w:val="006764B1"/>
    <w:rsid w:val="00676661"/>
    <w:rsid w:val="006766B1"/>
    <w:rsid w:val="006766F9"/>
    <w:rsid w:val="006768B2"/>
    <w:rsid w:val="00676A2E"/>
    <w:rsid w:val="00676A9B"/>
    <w:rsid w:val="00676B9F"/>
    <w:rsid w:val="00676C3E"/>
    <w:rsid w:val="00676E92"/>
    <w:rsid w:val="00677028"/>
    <w:rsid w:val="0067708F"/>
    <w:rsid w:val="006774B3"/>
    <w:rsid w:val="00677755"/>
    <w:rsid w:val="006777BD"/>
    <w:rsid w:val="00677880"/>
    <w:rsid w:val="00677B4A"/>
    <w:rsid w:val="0067BD26"/>
    <w:rsid w:val="00680006"/>
    <w:rsid w:val="00680246"/>
    <w:rsid w:val="00680304"/>
    <w:rsid w:val="0068033C"/>
    <w:rsid w:val="00680497"/>
    <w:rsid w:val="006804C8"/>
    <w:rsid w:val="006805C8"/>
    <w:rsid w:val="006807FB"/>
    <w:rsid w:val="00680A70"/>
    <w:rsid w:val="00680AF5"/>
    <w:rsid w:val="00680CAC"/>
    <w:rsid w:val="00680E4B"/>
    <w:rsid w:val="00680FB8"/>
    <w:rsid w:val="006812B5"/>
    <w:rsid w:val="00681520"/>
    <w:rsid w:val="00681D62"/>
    <w:rsid w:val="00682284"/>
    <w:rsid w:val="00682514"/>
    <w:rsid w:val="006828A6"/>
    <w:rsid w:val="00682AA0"/>
    <w:rsid w:val="00682AD0"/>
    <w:rsid w:val="00682CAB"/>
    <w:rsid w:val="00682CDA"/>
    <w:rsid w:val="00682DD5"/>
    <w:rsid w:val="00682E17"/>
    <w:rsid w:val="00682F62"/>
    <w:rsid w:val="0068300B"/>
    <w:rsid w:val="006830E5"/>
    <w:rsid w:val="00683118"/>
    <w:rsid w:val="0068314A"/>
    <w:rsid w:val="006831EC"/>
    <w:rsid w:val="00683283"/>
    <w:rsid w:val="00683319"/>
    <w:rsid w:val="00683694"/>
    <w:rsid w:val="006837C8"/>
    <w:rsid w:val="00683BEF"/>
    <w:rsid w:val="00683C74"/>
    <w:rsid w:val="00684058"/>
    <w:rsid w:val="006840DB"/>
    <w:rsid w:val="00684263"/>
    <w:rsid w:val="006842A8"/>
    <w:rsid w:val="00684390"/>
    <w:rsid w:val="006844E6"/>
    <w:rsid w:val="00684556"/>
    <w:rsid w:val="00684640"/>
    <w:rsid w:val="0068482A"/>
    <w:rsid w:val="00684869"/>
    <w:rsid w:val="006849CC"/>
    <w:rsid w:val="00684C56"/>
    <w:rsid w:val="00684FAC"/>
    <w:rsid w:val="00685072"/>
    <w:rsid w:val="006850A6"/>
    <w:rsid w:val="006851BC"/>
    <w:rsid w:val="00685283"/>
    <w:rsid w:val="006853D5"/>
    <w:rsid w:val="006853D8"/>
    <w:rsid w:val="00685500"/>
    <w:rsid w:val="00685531"/>
    <w:rsid w:val="00685694"/>
    <w:rsid w:val="0068579F"/>
    <w:rsid w:val="00685AD1"/>
    <w:rsid w:val="00685D59"/>
    <w:rsid w:val="00685D93"/>
    <w:rsid w:val="006863AC"/>
    <w:rsid w:val="00686420"/>
    <w:rsid w:val="0068653E"/>
    <w:rsid w:val="006865D1"/>
    <w:rsid w:val="006866F4"/>
    <w:rsid w:val="00686731"/>
    <w:rsid w:val="006868CD"/>
    <w:rsid w:val="00686C4E"/>
    <w:rsid w:val="00686FF5"/>
    <w:rsid w:val="00687300"/>
    <w:rsid w:val="006875B3"/>
    <w:rsid w:val="00687745"/>
    <w:rsid w:val="00687C2D"/>
    <w:rsid w:val="00687E2E"/>
    <w:rsid w:val="006900A8"/>
    <w:rsid w:val="0069074D"/>
    <w:rsid w:val="00690782"/>
    <w:rsid w:val="00690961"/>
    <w:rsid w:val="00690A40"/>
    <w:rsid w:val="00690C95"/>
    <w:rsid w:val="00690CF8"/>
    <w:rsid w:val="00691009"/>
    <w:rsid w:val="0069140F"/>
    <w:rsid w:val="006915FD"/>
    <w:rsid w:val="0069175E"/>
    <w:rsid w:val="0069179F"/>
    <w:rsid w:val="006918B4"/>
    <w:rsid w:val="00691A81"/>
    <w:rsid w:val="00691AD4"/>
    <w:rsid w:val="00691BD3"/>
    <w:rsid w:val="00691C21"/>
    <w:rsid w:val="00691E75"/>
    <w:rsid w:val="00692005"/>
    <w:rsid w:val="006921AB"/>
    <w:rsid w:val="006923D7"/>
    <w:rsid w:val="006925D9"/>
    <w:rsid w:val="00692988"/>
    <w:rsid w:val="00692B64"/>
    <w:rsid w:val="00692F09"/>
    <w:rsid w:val="00693271"/>
    <w:rsid w:val="006932F3"/>
    <w:rsid w:val="006934C8"/>
    <w:rsid w:val="006935A7"/>
    <w:rsid w:val="00693723"/>
    <w:rsid w:val="0069389A"/>
    <w:rsid w:val="006938AF"/>
    <w:rsid w:val="00693A14"/>
    <w:rsid w:val="00693AF0"/>
    <w:rsid w:val="00693C83"/>
    <w:rsid w:val="00693C93"/>
    <w:rsid w:val="00693F43"/>
    <w:rsid w:val="0069459B"/>
    <w:rsid w:val="00694908"/>
    <w:rsid w:val="006949D3"/>
    <w:rsid w:val="00694A4C"/>
    <w:rsid w:val="00694D2F"/>
    <w:rsid w:val="00694F29"/>
    <w:rsid w:val="00695030"/>
    <w:rsid w:val="00695520"/>
    <w:rsid w:val="006955FE"/>
    <w:rsid w:val="00695A5B"/>
    <w:rsid w:val="00695B53"/>
    <w:rsid w:val="00695BEE"/>
    <w:rsid w:val="00695BF2"/>
    <w:rsid w:val="00695CFF"/>
    <w:rsid w:val="00695E72"/>
    <w:rsid w:val="00695E9D"/>
    <w:rsid w:val="00695E9F"/>
    <w:rsid w:val="006960BA"/>
    <w:rsid w:val="00696203"/>
    <w:rsid w:val="006966D1"/>
    <w:rsid w:val="00696708"/>
    <w:rsid w:val="0069691E"/>
    <w:rsid w:val="00696975"/>
    <w:rsid w:val="00696B42"/>
    <w:rsid w:val="0069708B"/>
    <w:rsid w:val="00697125"/>
    <w:rsid w:val="006971CE"/>
    <w:rsid w:val="00697327"/>
    <w:rsid w:val="00697447"/>
    <w:rsid w:val="0069755C"/>
    <w:rsid w:val="006976EF"/>
    <w:rsid w:val="006978D3"/>
    <w:rsid w:val="00697915"/>
    <w:rsid w:val="006979DD"/>
    <w:rsid w:val="00697AE1"/>
    <w:rsid w:val="00697BFD"/>
    <w:rsid w:val="006A001E"/>
    <w:rsid w:val="006A0089"/>
    <w:rsid w:val="006A00E9"/>
    <w:rsid w:val="006A028E"/>
    <w:rsid w:val="006A08DA"/>
    <w:rsid w:val="006A093C"/>
    <w:rsid w:val="006A0C1E"/>
    <w:rsid w:val="006A0F38"/>
    <w:rsid w:val="006A1032"/>
    <w:rsid w:val="006A1613"/>
    <w:rsid w:val="006A18CB"/>
    <w:rsid w:val="006A1A68"/>
    <w:rsid w:val="006A1B34"/>
    <w:rsid w:val="006A1BFC"/>
    <w:rsid w:val="006A1BFD"/>
    <w:rsid w:val="006A1C19"/>
    <w:rsid w:val="006A1C86"/>
    <w:rsid w:val="006A1F85"/>
    <w:rsid w:val="006A1FC5"/>
    <w:rsid w:val="006A22C7"/>
    <w:rsid w:val="006A24CE"/>
    <w:rsid w:val="006A2B6B"/>
    <w:rsid w:val="006A2CB6"/>
    <w:rsid w:val="006A2E9B"/>
    <w:rsid w:val="006A315D"/>
    <w:rsid w:val="006A35CC"/>
    <w:rsid w:val="006A3647"/>
    <w:rsid w:val="006A373E"/>
    <w:rsid w:val="006A374B"/>
    <w:rsid w:val="006A3897"/>
    <w:rsid w:val="006A3A88"/>
    <w:rsid w:val="006A3B04"/>
    <w:rsid w:val="006A3B62"/>
    <w:rsid w:val="006A3C09"/>
    <w:rsid w:val="006A3FC5"/>
    <w:rsid w:val="006A45D9"/>
    <w:rsid w:val="006A471B"/>
    <w:rsid w:val="006A47E3"/>
    <w:rsid w:val="006A47F9"/>
    <w:rsid w:val="006A4A76"/>
    <w:rsid w:val="006A4A90"/>
    <w:rsid w:val="006A4B1D"/>
    <w:rsid w:val="006A4D84"/>
    <w:rsid w:val="006A520B"/>
    <w:rsid w:val="006A52A7"/>
    <w:rsid w:val="006A52FA"/>
    <w:rsid w:val="006A5821"/>
    <w:rsid w:val="006A58CA"/>
    <w:rsid w:val="006A5C39"/>
    <w:rsid w:val="006A5F75"/>
    <w:rsid w:val="006A613F"/>
    <w:rsid w:val="006A6161"/>
    <w:rsid w:val="006A6182"/>
    <w:rsid w:val="006A6294"/>
    <w:rsid w:val="006A63FF"/>
    <w:rsid w:val="006A6445"/>
    <w:rsid w:val="006A66A4"/>
    <w:rsid w:val="006A688A"/>
    <w:rsid w:val="006A68C8"/>
    <w:rsid w:val="006A7002"/>
    <w:rsid w:val="006A7066"/>
    <w:rsid w:val="006A70FE"/>
    <w:rsid w:val="006A71DF"/>
    <w:rsid w:val="006A74F0"/>
    <w:rsid w:val="006A7552"/>
    <w:rsid w:val="006A7558"/>
    <w:rsid w:val="006A757C"/>
    <w:rsid w:val="006A7621"/>
    <w:rsid w:val="006A797A"/>
    <w:rsid w:val="006A799D"/>
    <w:rsid w:val="006A7DC4"/>
    <w:rsid w:val="006A7DED"/>
    <w:rsid w:val="006A7FC1"/>
    <w:rsid w:val="006B0009"/>
    <w:rsid w:val="006B0107"/>
    <w:rsid w:val="006B0183"/>
    <w:rsid w:val="006B01D5"/>
    <w:rsid w:val="006B0302"/>
    <w:rsid w:val="006B0321"/>
    <w:rsid w:val="006B075A"/>
    <w:rsid w:val="006B07C3"/>
    <w:rsid w:val="006B0BEB"/>
    <w:rsid w:val="006B0CEC"/>
    <w:rsid w:val="006B0D3D"/>
    <w:rsid w:val="006B0D57"/>
    <w:rsid w:val="006B0E84"/>
    <w:rsid w:val="006B12B7"/>
    <w:rsid w:val="006B146D"/>
    <w:rsid w:val="006B1789"/>
    <w:rsid w:val="006B190F"/>
    <w:rsid w:val="006B1A33"/>
    <w:rsid w:val="006B1A4F"/>
    <w:rsid w:val="006B1A6B"/>
    <w:rsid w:val="006B1D3E"/>
    <w:rsid w:val="006B1D82"/>
    <w:rsid w:val="006B1E94"/>
    <w:rsid w:val="006B2262"/>
    <w:rsid w:val="006B25F0"/>
    <w:rsid w:val="006B266C"/>
    <w:rsid w:val="006B26F9"/>
    <w:rsid w:val="006B2932"/>
    <w:rsid w:val="006B297F"/>
    <w:rsid w:val="006B29AD"/>
    <w:rsid w:val="006B2A8F"/>
    <w:rsid w:val="006B2B96"/>
    <w:rsid w:val="006B2C7E"/>
    <w:rsid w:val="006B2CA4"/>
    <w:rsid w:val="006B2F12"/>
    <w:rsid w:val="006B2F45"/>
    <w:rsid w:val="006B34B7"/>
    <w:rsid w:val="006B3603"/>
    <w:rsid w:val="006B3734"/>
    <w:rsid w:val="006B3E3D"/>
    <w:rsid w:val="006B3E81"/>
    <w:rsid w:val="006B41CD"/>
    <w:rsid w:val="006B4A5D"/>
    <w:rsid w:val="006B4AC4"/>
    <w:rsid w:val="006B4D1C"/>
    <w:rsid w:val="006B4DD5"/>
    <w:rsid w:val="006B4FA9"/>
    <w:rsid w:val="006B5220"/>
    <w:rsid w:val="006B54AB"/>
    <w:rsid w:val="006B559E"/>
    <w:rsid w:val="006B56A3"/>
    <w:rsid w:val="006B5BCF"/>
    <w:rsid w:val="006B5DFD"/>
    <w:rsid w:val="006B5F7D"/>
    <w:rsid w:val="006B6054"/>
    <w:rsid w:val="006B6059"/>
    <w:rsid w:val="006B616C"/>
    <w:rsid w:val="006B61C4"/>
    <w:rsid w:val="006B621B"/>
    <w:rsid w:val="006B6285"/>
    <w:rsid w:val="006B6298"/>
    <w:rsid w:val="006B64DC"/>
    <w:rsid w:val="006B67F3"/>
    <w:rsid w:val="006B683A"/>
    <w:rsid w:val="006B68A6"/>
    <w:rsid w:val="006B68C2"/>
    <w:rsid w:val="006B6A90"/>
    <w:rsid w:val="006B6B73"/>
    <w:rsid w:val="006B6C12"/>
    <w:rsid w:val="006B76A7"/>
    <w:rsid w:val="006B7754"/>
    <w:rsid w:val="006B7766"/>
    <w:rsid w:val="006B777F"/>
    <w:rsid w:val="006B7C4F"/>
    <w:rsid w:val="006C0026"/>
    <w:rsid w:val="006C06AE"/>
    <w:rsid w:val="006C0DA3"/>
    <w:rsid w:val="006C11C7"/>
    <w:rsid w:val="006C11F2"/>
    <w:rsid w:val="006C1414"/>
    <w:rsid w:val="006C1492"/>
    <w:rsid w:val="006C159F"/>
    <w:rsid w:val="006C15AF"/>
    <w:rsid w:val="006C1D70"/>
    <w:rsid w:val="006C2017"/>
    <w:rsid w:val="006C220C"/>
    <w:rsid w:val="006C236F"/>
    <w:rsid w:val="006C2408"/>
    <w:rsid w:val="006C2736"/>
    <w:rsid w:val="006C2929"/>
    <w:rsid w:val="006C2AE5"/>
    <w:rsid w:val="006C2C1E"/>
    <w:rsid w:val="006C2CC6"/>
    <w:rsid w:val="006C3117"/>
    <w:rsid w:val="006C3214"/>
    <w:rsid w:val="006C38B9"/>
    <w:rsid w:val="006C3B28"/>
    <w:rsid w:val="006C3CDE"/>
    <w:rsid w:val="006C40D9"/>
    <w:rsid w:val="006C448E"/>
    <w:rsid w:val="006C46BB"/>
    <w:rsid w:val="006C4986"/>
    <w:rsid w:val="006C4A86"/>
    <w:rsid w:val="006C4E1B"/>
    <w:rsid w:val="006C518F"/>
    <w:rsid w:val="006C51C5"/>
    <w:rsid w:val="006C526C"/>
    <w:rsid w:val="006C5409"/>
    <w:rsid w:val="006C554B"/>
    <w:rsid w:val="006C5575"/>
    <w:rsid w:val="006C5620"/>
    <w:rsid w:val="006C5652"/>
    <w:rsid w:val="006C565C"/>
    <w:rsid w:val="006C57D1"/>
    <w:rsid w:val="006C59AA"/>
    <w:rsid w:val="006C5C80"/>
    <w:rsid w:val="006C5D00"/>
    <w:rsid w:val="006C643E"/>
    <w:rsid w:val="006C6448"/>
    <w:rsid w:val="006C653E"/>
    <w:rsid w:val="006C65AE"/>
    <w:rsid w:val="006C6627"/>
    <w:rsid w:val="006C6A01"/>
    <w:rsid w:val="006C6DCD"/>
    <w:rsid w:val="006C6DE2"/>
    <w:rsid w:val="006C7205"/>
    <w:rsid w:val="006C7428"/>
    <w:rsid w:val="006C74AA"/>
    <w:rsid w:val="006C7502"/>
    <w:rsid w:val="006C785B"/>
    <w:rsid w:val="006C7CCF"/>
    <w:rsid w:val="006D017D"/>
    <w:rsid w:val="006D019D"/>
    <w:rsid w:val="006D04D4"/>
    <w:rsid w:val="006D06E6"/>
    <w:rsid w:val="006D0A15"/>
    <w:rsid w:val="006D0A6F"/>
    <w:rsid w:val="006D0A7F"/>
    <w:rsid w:val="006D0AD7"/>
    <w:rsid w:val="006D0BB6"/>
    <w:rsid w:val="006D0D79"/>
    <w:rsid w:val="006D0E03"/>
    <w:rsid w:val="006D0E4D"/>
    <w:rsid w:val="006D1108"/>
    <w:rsid w:val="006D1195"/>
    <w:rsid w:val="006D11C3"/>
    <w:rsid w:val="006D13C3"/>
    <w:rsid w:val="006D1592"/>
    <w:rsid w:val="006D1B37"/>
    <w:rsid w:val="006D1C02"/>
    <w:rsid w:val="006D2136"/>
    <w:rsid w:val="006D2286"/>
    <w:rsid w:val="006D25E0"/>
    <w:rsid w:val="006D267F"/>
    <w:rsid w:val="006D27E1"/>
    <w:rsid w:val="006D2A2E"/>
    <w:rsid w:val="006D2D6D"/>
    <w:rsid w:val="006D2DC4"/>
    <w:rsid w:val="006D2F79"/>
    <w:rsid w:val="006D3083"/>
    <w:rsid w:val="006D30B9"/>
    <w:rsid w:val="006D3182"/>
    <w:rsid w:val="006D3350"/>
    <w:rsid w:val="006D339A"/>
    <w:rsid w:val="006D34E1"/>
    <w:rsid w:val="006D3888"/>
    <w:rsid w:val="006D389C"/>
    <w:rsid w:val="006D395B"/>
    <w:rsid w:val="006D3A0B"/>
    <w:rsid w:val="006D3BA0"/>
    <w:rsid w:val="006D3C22"/>
    <w:rsid w:val="006D3D57"/>
    <w:rsid w:val="006D3F31"/>
    <w:rsid w:val="006D4087"/>
    <w:rsid w:val="006D4287"/>
    <w:rsid w:val="006D429B"/>
    <w:rsid w:val="006D4336"/>
    <w:rsid w:val="006D4561"/>
    <w:rsid w:val="006D46B0"/>
    <w:rsid w:val="006D474A"/>
    <w:rsid w:val="006D4C65"/>
    <w:rsid w:val="006D4D22"/>
    <w:rsid w:val="006D4F3E"/>
    <w:rsid w:val="006D5343"/>
    <w:rsid w:val="006D53B0"/>
    <w:rsid w:val="006D54C4"/>
    <w:rsid w:val="006D577B"/>
    <w:rsid w:val="006D5ABE"/>
    <w:rsid w:val="006D5B16"/>
    <w:rsid w:val="006D5CCF"/>
    <w:rsid w:val="006D5D51"/>
    <w:rsid w:val="006D5DBF"/>
    <w:rsid w:val="006D5EE2"/>
    <w:rsid w:val="006D6255"/>
    <w:rsid w:val="006D6393"/>
    <w:rsid w:val="006D654C"/>
    <w:rsid w:val="006D6600"/>
    <w:rsid w:val="006D6998"/>
    <w:rsid w:val="006D69BF"/>
    <w:rsid w:val="006D6C2B"/>
    <w:rsid w:val="006D6D47"/>
    <w:rsid w:val="006D6ECC"/>
    <w:rsid w:val="006D762A"/>
    <w:rsid w:val="006D76AE"/>
    <w:rsid w:val="006D7843"/>
    <w:rsid w:val="006D78D2"/>
    <w:rsid w:val="006D795D"/>
    <w:rsid w:val="006D7A3A"/>
    <w:rsid w:val="006D7B8E"/>
    <w:rsid w:val="006D7FF6"/>
    <w:rsid w:val="006E012D"/>
    <w:rsid w:val="006E021C"/>
    <w:rsid w:val="006E072C"/>
    <w:rsid w:val="006E0741"/>
    <w:rsid w:val="006E0C2F"/>
    <w:rsid w:val="006E0C51"/>
    <w:rsid w:val="006E0CC2"/>
    <w:rsid w:val="006E0F0F"/>
    <w:rsid w:val="006E0FA9"/>
    <w:rsid w:val="006E0FEF"/>
    <w:rsid w:val="006E10EB"/>
    <w:rsid w:val="006E12E6"/>
    <w:rsid w:val="006E14B0"/>
    <w:rsid w:val="006E16DB"/>
    <w:rsid w:val="006E17C4"/>
    <w:rsid w:val="006E1BAE"/>
    <w:rsid w:val="006E1DE6"/>
    <w:rsid w:val="006E1DFC"/>
    <w:rsid w:val="006E2010"/>
    <w:rsid w:val="006E2124"/>
    <w:rsid w:val="006E2181"/>
    <w:rsid w:val="006E2408"/>
    <w:rsid w:val="006E2519"/>
    <w:rsid w:val="006E251C"/>
    <w:rsid w:val="006E267A"/>
    <w:rsid w:val="006E26AC"/>
    <w:rsid w:val="006E2713"/>
    <w:rsid w:val="006E277C"/>
    <w:rsid w:val="006E2AEF"/>
    <w:rsid w:val="006E2BE2"/>
    <w:rsid w:val="006E2E3A"/>
    <w:rsid w:val="006E2F1A"/>
    <w:rsid w:val="006E3199"/>
    <w:rsid w:val="006E321F"/>
    <w:rsid w:val="006E325B"/>
    <w:rsid w:val="006E3346"/>
    <w:rsid w:val="006E3391"/>
    <w:rsid w:val="006E3625"/>
    <w:rsid w:val="006E3789"/>
    <w:rsid w:val="006E3B45"/>
    <w:rsid w:val="006E4089"/>
    <w:rsid w:val="006E4747"/>
    <w:rsid w:val="006E47E7"/>
    <w:rsid w:val="006E4EA5"/>
    <w:rsid w:val="006E5272"/>
    <w:rsid w:val="006E54D4"/>
    <w:rsid w:val="006E57CC"/>
    <w:rsid w:val="006E5981"/>
    <w:rsid w:val="006E5A5F"/>
    <w:rsid w:val="006E5ABD"/>
    <w:rsid w:val="006E5BAD"/>
    <w:rsid w:val="006E5C03"/>
    <w:rsid w:val="006E5CE2"/>
    <w:rsid w:val="006E603A"/>
    <w:rsid w:val="006E609E"/>
    <w:rsid w:val="006E60BE"/>
    <w:rsid w:val="006E62D1"/>
    <w:rsid w:val="006E62E4"/>
    <w:rsid w:val="006E6380"/>
    <w:rsid w:val="006E6384"/>
    <w:rsid w:val="006E664D"/>
    <w:rsid w:val="006E66C5"/>
    <w:rsid w:val="006E6944"/>
    <w:rsid w:val="006E69AC"/>
    <w:rsid w:val="006E69DE"/>
    <w:rsid w:val="006E6A21"/>
    <w:rsid w:val="006E6B0D"/>
    <w:rsid w:val="006E6C7F"/>
    <w:rsid w:val="006E6CA5"/>
    <w:rsid w:val="006E6D2C"/>
    <w:rsid w:val="006E6E2D"/>
    <w:rsid w:val="006E6F98"/>
    <w:rsid w:val="006E71A2"/>
    <w:rsid w:val="006E749B"/>
    <w:rsid w:val="006E74D2"/>
    <w:rsid w:val="006E75BE"/>
    <w:rsid w:val="006E787F"/>
    <w:rsid w:val="006E7CEC"/>
    <w:rsid w:val="006E7D9D"/>
    <w:rsid w:val="006E7E42"/>
    <w:rsid w:val="006F02C5"/>
    <w:rsid w:val="006F0728"/>
    <w:rsid w:val="006F0811"/>
    <w:rsid w:val="006F08D5"/>
    <w:rsid w:val="006F0A5F"/>
    <w:rsid w:val="006F0BC4"/>
    <w:rsid w:val="006F0D2D"/>
    <w:rsid w:val="006F0D6C"/>
    <w:rsid w:val="006F0DA8"/>
    <w:rsid w:val="006F0E5C"/>
    <w:rsid w:val="006F0E77"/>
    <w:rsid w:val="006F0ED3"/>
    <w:rsid w:val="006F1360"/>
    <w:rsid w:val="006F13F4"/>
    <w:rsid w:val="006F156C"/>
    <w:rsid w:val="006F1826"/>
    <w:rsid w:val="006F1CE0"/>
    <w:rsid w:val="006F1D26"/>
    <w:rsid w:val="006F1D6B"/>
    <w:rsid w:val="006F1F58"/>
    <w:rsid w:val="006F1FDD"/>
    <w:rsid w:val="006F2211"/>
    <w:rsid w:val="006F22E7"/>
    <w:rsid w:val="006F241F"/>
    <w:rsid w:val="006F2607"/>
    <w:rsid w:val="006F28B2"/>
    <w:rsid w:val="006F293A"/>
    <w:rsid w:val="006F29B0"/>
    <w:rsid w:val="006F2A2C"/>
    <w:rsid w:val="006F2AFF"/>
    <w:rsid w:val="006F2B05"/>
    <w:rsid w:val="006F2BFB"/>
    <w:rsid w:val="006F2C2D"/>
    <w:rsid w:val="006F2D8B"/>
    <w:rsid w:val="006F2D90"/>
    <w:rsid w:val="006F2FE2"/>
    <w:rsid w:val="006F3036"/>
    <w:rsid w:val="006F310F"/>
    <w:rsid w:val="006F3110"/>
    <w:rsid w:val="006F3398"/>
    <w:rsid w:val="006F3574"/>
    <w:rsid w:val="006F35E0"/>
    <w:rsid w:val="006F360F"/>
    <w:rsid w:val="006F3657"/>
    <w:rsid w:val="006F369C"/>
    <w:rsid w:val="006F38F6"/>
    <w:rsid w:val="006F3C29"/>
    <w:rsid w:val="006F3D5E"/>
    <w:rsid w:val="006F403A"/>
    <w:rsid w:val="006F431F"/>
    <w:rsid w:val="006F43BC"/>
    <w:rsid w:val="006F47B0"/>
    <w:rsid w:val="006F47B1"/>
    <w:rsid w:val="006F4B85"/>
    <w:rsid w:val="006F4C03"/>
    <w:rsid w:val="006F4C57"/>
    <w:rsid w:val="006F4C87"/>
    <w:rsid w:val="006F4D7A"/>
    <w:rsid w:val="006F4DDF"/>
    <w:rsid w:val="006F4F82"/>
    <w:rsid w:val="006F5077"/>
    <w:rsid w:val="006F51E9"/>
    <w:rsid w:val="006F5338"/>
    <w:rsid w:val="006F53AC"/>
    <w:rsid w:val="006F5443"/>
    <w:rsid w:val="006F5473"/>
    <w:rsid w:val="006F54DB"/>
    <w:rsid w:val="006F54DF"/>
    <w:rsid w:val="006F5521"/>
    <w:rsid w:val="006F5582"/>
    <w:rsid w:val="006F5642"/>
    <w:rsid w:val="006F593A"/>
    <w:rsid w:val="006F5D67"/>
    <w:rsid w:val="006F5D9E"/>
    <w:rsid w:val="006F5FED"/>
    <w:rsid w:val="006F6519"/>
    <w:rsid w:val="006F6752"/>
    <w:rsid w:val="006F6B4E"/>
    <w:rsid w:val="006F6EF0"/>
    <w:rsid w:val="006F722D"/>
    <w:rsid w:val="006F73FB"/>
    <w:rsid w:val="006F7449"/>
    <w:rsid w:val="006F7BB4"/>
    <w:rsid w:val="006F7C24"/>
    <w:rsid w:val="006F7C96"/>
    <w:rsid w:val="006F7CF2"/>
    <w:rsid w:val="006F7D85"/>
    <w:rsid w:val="006F7F25"/>
    <w:rsid w:val="00700024"/>
    <w:rsid w:val="007000A2"/>
    <w:rsid w:val="007000C3"/>
    <w:rsid w:val="0070015A"/>
    <w:rsid w:val="007003B6"/>
    <w:rsid w:val="00700405"/>
    <w:rsid w:val="00700959"/>
    <w:rsid w:val="00700CC3"/>
    <w:rsid w:val="00700D90"/>
    <w:rsid w:val="00700F29"/>
    <w:rsid w:val="007015DB"/>
    <w:rsid w:val="00701833"/>
    <w:rsid w:val="00701844"/>
    <w:rsid w:val="00701951"/>
    <w:rsid w:val="00701A1C"/>
    <w:rsid w:val="00701A41"/>
    <w:rsid w:val="00701BEF"/>
    <w:rsid w:val="00701DB6"/>
    <w:rsid w:val="00701EDE"/>
    <w:rsid w:val="007020E2"/>
    <w:rsid w:val="00702405"/>
    <w:rsid w:val="007024EA"/>
    <w:rsid w:val="00702A11"/>
    <w:rsid w:val="00702A1A"/>
    <w:rsid w:val="00702AE5"/>
    <w:rsid w:val="00702BD8"/>
    <w:rsid w:val="00702C01"/>
    <w:rsid w:val="00702FF8"/>
    <w:rsid w:val="007032EF"/>
    <w:rsid w:val="007033A9"/>
    <w:rsid w:val="007037AB"/>
    <w:rsid w:val="007037E7"/>
    <w:rsid w:val="007037F5"/>
    <w:rsid w:val="00703927"/>
    <w:rsid w:val="00703A64"/>
    <w:rsid w:val="00703D64"/>
    <w:rsid w:val="00703D7A"/>
    <w:rsid w:val="00703DEF"/>
    <w:rsid w:val="00703EDE"/>
    <w:rsid w:val="00703FD9"/>
    <w:rsid w:val="00704120"/>
    <w:rsid w:val="0070430B"/>
    <w:rsid w:val="0070445A"/>
    <w:rsid w:val="0070497C"/>
    <w:rsid w:val="007049A8"/>
    <w:rsid w:val="00704E4B"/>
    <w:rsid w:val="00705092"/>
    <w:rsid w:val="00705330"/>
    <w:rsid w:val="0070546E"/>
    <w:rsid w:val="00705518"/>
    <w:rsid w:val="00705780"/>
    <w:rsid w:val="00705832"/>
    <w:rsid w:val="00705A4E"/>
    <w:rsid w:val="00705B1E"/>
    <w:rsid w:val="00705D9F"/>
    <w:rsid w:val="00706211"/>
    <w:rsid w:val="00706519"/>
    <w:rsid w:val="0070667A"/>
    <w:rsid w:val="007067C3"/>
    <w:rsid w:val="00706AF3"/>
    <w:rsid w:val="00706C53"/>
    <w:rsid w:val="00706D3C"/>
    <w:rsid w:val="00706FC6"/>
    <w:rsid w:val="00707138"/>
    <w:rsid w:val="007071E4"/>
    <w:rsid w:val="007072C3"/>
    <w:rsid w:val="0070737B"/>
    <w:rsid w:val="007077C3"/>
    <w:rsid w:val="00707B88"/>
    <w:rsid w:val="00707CAD"/>
    <w:rsid w:val="00707E19"/>
    <w:rsid w:val="00710207"/>
    <w:rsid w:val="007103D3"/>
    <w:rsid w:val="007106A1"/>
    <w:rsid w:val="00710B9F"/>
    <w:rsid w:val="00710BCC"/>
    <w:rsid w:val="00710DC3"/>
    <w:rsid w:val="00710E37"/>
    <w:rsid w:val="00710FB4"/>
    <w:rsid w:val="00711133"/>
    <w:rsid w:val="007111FC"/>
    <w:rsid w:val="007114F4"/>
    <w:rsid w:val="007117A4"/>
    <w:rsid w:val="00711887"/>
    <w:rsid w:val="00711A94"/>
    <w:rsid w:val="00711B86"/>
    <w:rsid w:val="00711C1B"/>
    <w:rsid w:val="00711D2B"/>
    <w:rsid w:val="00711D5F"/>
    <w:rsid w:val="00712087"/>
    <w:rsid w:val="00712121"/>
    <w:rsid w:val="00712331"/>
    <w:rsid w:val="00712345"/>
    <w:rsid w:val="00712596"/>
    <w:rsid w:val="00712638"/>
    <w:rsid w:val="0071276B"/>
    <w:rsid w:val="00712861"/>
    <w:rsid w:val="00712933"/>
    <w:rsid w:val="00712C47"/>
    <w:rsid w:val="00712CA9"/>
    <w:rsid w:val="007130EB"/>
    <w:rsid w:val="00713128"/>
    <w:rsid w:val="00713208"/>
    <w:rsid w:val="007133C4"/>
    <w:rsid w:val="0071391F"/>
    <w:rsid w:val="00713B2F"/>
    <w:rsid w:val="00713FB7"/>
    <w:rsid w:val="00714137"/>
    <w:rsid w:val="0071440E"/>
    <w:rsid w:val="0071499B"/>
    <w:rsid w:val="00714E96"/>
    <w:rsid w:val="00714E9C"/>
    <w:rsid w:val="00714FC7"/>
    <w:rsid w:val="007150C8"/>
    <w:rsid w:val="007151B2"/>
    <w:rsid w:val="0071530C"/>
    <w:rsid w:val="0071541B"/>
    <w:rsid w:val="00715724"/>
    <w:rsid w:val="007158C0"/>
    <w:rsid w:val="007159D2"/>
    <w:rsid w:val="00715A02"/>
    <w:rsid w:val="00715ACF"/>
    <w:rsid w:val="00715BAB"/>
    <w:rsid w:val="00715EBB"/>
    <w:rsid w:val="007165A6"/>
    <w:rsid w:val="00716608"/>
    <w:rsid w:val="00716646"/>
    <w:rsid w:val="00716D57"/>
    <w:rsid w:val="0071720B"/>
    <w:rsid w:val="007174A3"/>
    <w:rsid w:val="00717788"/>
    <w:rsid w:val="00717A28"/>
    <w:rsid w:val="00717A72"/>
    <w:rsid w:val="00717C85"/>
    <w:rsid w:val="00717C8C"/>
    <w:rsid w:val="00717F07"/>
    <w:rsid w:val="00717F75"/>
    <w:rsid w:val="0072053E"/>
    <w:rsid w:val="00720D34"/>
    <w:rsid w:val="00720D94"/>
    <w:rsid w:val="00720F33"/>
    <w:rsid w:val="00721040"/>
    <w:rsid w:val="00721128"/>
    <w:rsid w:val="007214D2"/>
    <w:rsid w:val="007214F4"/>
    <w:rsid w:val="0072154F"/>
    <w:rsid w:val="007215AA"/>
    <w:rsid w:val="0072167F"/>
    <w:rsid w:val="007217CA"/>
    <w:rsid w:val="00721C89"/>
    <w:rsid w:val="00721DBB"/>
    <w:rsid w:val="00721EC9"/>
    <w:rsid w:val="00721F25"/>
    <w:rsid w:val="00722091"/>
    <w:rsid w:val="00722096"/>
    <w:rsid w:val="007220EC"/>
    <w:rsid w:val="0072249E"/>
    <w:rsid w:val="0072262B"/>
    <w:rsid w:val="0072265B"/>
    <w:rsid w:val="00722696"/>
    <w:rsid w:val="007228BF"/>
    <w:rsid w:val="007229DB"/>
    <w:rsid w:val="007229FF"/>
    <w:rsid w:val="00722C71"/>
    <w:rsid w:val="00722CC2"/>
    <w:rsid w:val="00722EEE"/>
    <w:rsid w:val="00722F70"/>
    <w:rsid w:val="00722FE3"/>
    <w:rsid w:val="00723048"/>
    <w:rsid w:val="00723307"/>
    <w:rsid w:val="007233A4"/>
    <w:rsid w:val="00723474"/>
    <w:rsid w:val="0072348D"/>
    <w:rsid w:val="00723696"/>
    <w:rsid w:val="007236E6"/>
    <w:rsid w:val="0072390D"/>
    <w:rsid w:val="00723A9F"/>
    <w:rsid w:val="00723B5D"/>
    <w:rsid w:val="00723BCA"/>
    <w:rsid w:val="00724027"/>
    <w:rsid w:val="007242AC"/>
    <w:rsid w:val="00724388"/>
    <w:rsid w:val="00724576"/>
    <w:rsid w:val="007245BB"/>
    <w:rsid w:val="00724886"/>
    <w:rsid w:val="007249B6"/>
    <w:rsid w:val="00724A74"/>
    <w:rsid w:val="00724A8A"/>
    <w:rsid w:val="00724DAC"/>
    <w:rsid w:val="00724DDF"/>
    <w:rsid w:val="00725121"/>
    <w:rsid w:val="0072527B"/>
    <w:rsid w:val="00725287"/>
    <w:rsid w:val="00725371"/>
    <w:rsid w:val="00725580"/>
    <w:rsid w:val="007255C7"/>
    <w:rsid w:val="007256AD"/>
    <w:rsid w:val="0072575B"/>
    <w:rsid w:val="0072598E"/>
    <w:rsid w:val="007260F3"/>
    <w:rsid w:val="0072616B"/>
    <w:rsid w:val="00726205"/>
    <w:rsid w:val="007262EB"/>
    <w:rsid w:val="007263B2"/>
    <w:rsid w:val="0072671C"/>
    <w:rsid w:val="00726730"/>
    <w:rsid w:val="00726915"/>
    <w:rsid w:val="00726F2B"/>
    <w:rsid w:val="00726FE6"/>
    <w:rsid w:val="00727056"/>
    <w:rsid w:val="00727255"/>
    <w:rsid w:val="00727299"/>
    <w:rsid w:val="00727AA4"/>
    <w:rsid w:val="00727AE7"/>
    <w:rsid w:val="00727DF0"/>
    <w:rsid w:val="007300E5"/>
    <w:rsid w:val="00730136"/>
    <w:rsid w:val="007303E1"/>
    <w:rsid w:val="007303EB"/>
    <w:rsid w:val="0073076C"/>
    <w:rsid w:val="00730A10"/>
    <w:rsid w:val="0073129A"/>
    <w:rsid w:val="007312F9"/>
    <w:rsid w:val="00731579"/>
    <w:rsid w:val="00731630"/>
    <w:rsid w:val="007318BD"/>
    <w:rsid w:val="007318DD"/>
    <w:rsid w:val="00731D30"/>
    <w:rsid w:val="0073203B"/>
    <w:rsid w:val="00732352"/>
    <w:rsid w:val="007323C9"/>
    <w:rsid w:val="00732A37"/>
    <w:rsid w:val="00732A52"/>
    <w:rsid w:val="00732A90"/>
    <w:rsid w:val="00732F0B"/>
    <w:rsid w:val="00732F99"/>
    <w:rsid w:val="00733217"/>
    <w:rsid w:val="00733227"/>
    <w:rsid w:val="007333AF"/>
    <w:rsid w:val="00733723"/>
    <w:rsid w:val="00733CAB"/>
    <w:rsid w:val="00733E05"/>
    <w:rsid w:val="00733EB0"/>
    <w:rsid w:val="00733FB0"/>
    <w:rsid w:val="00733FC0"/>
    <w:rsid w:val="00734102"/>
    <w:rsid w:val="007341AE"/>
    <w:rsid w:val="007342E7"/>
    <w:rsid w:val="007343EA"/>
    <w:rsid w:val="007344FE"/>
    <w:rsid w:val="0073470D"/>
    <w:rsid w:val="0073487F"/>
    <w:rsid w:val="007348AE"/>
    <w:rsid w:val="007349BB"/>
    <w:rsid w:val="00734AD2"/>
    <w:rsid w:val="00734BFB"/>
    <w:rsid w:val="00734F2F"/>
    <w:rsid w:val="00735338"/>
    <w:rsid w:val="00735A5F"/>
    <w:rsid w:val="00735B23"/>
    <w:rsid w:val="00735B71"/>
    <w:rsid w:val="00736009"/>
    <w:rsid w:val="0073616F"/>
    <w:rsid w:val="0073626B"/>
    <w:rsid w:val="007363FB"/>
    <w:rsid w:val="007364F2"/>
    <w:rsid w:val="00736718"/>
    <w:rsid w:val="00736817"/>
    <w:rsid w:val="007369C4"/>
    <w:rsid w:val="00736E55"/>
    <w:rsid w:val="0073704B"/>
    <w:rsid w:val="00737106"/>
    <w:rsid w:val="00737570"/>
    <w:rsid w:val="00737644"/>
    <w:rsid w:val="00737680"/>
    <w:rsid w:val="00737748"/>
    <w:rsid w:val="0073779C"/>
    <w:rsid w:val="007379AB"/>
    <w:rsid w:val="00737A35"/>
    <w:rsid w:val="00737B34"/>
    <w:rsid w:val="00737CD0"/>
    <w:rsid w:val="00737E03"/>
    <w:rsid w:val="00737FE3"/>
    <w:rsid w:val="0074012F"/>
    <w:rsid w:val="00740449"/>
    <w:rsid w:val="00740574"/>
    <w:rsid w:val="0074098A"/>
    <w:rsid w:val="00740B7C"/>
    <w:rsid w:val="00740FEA"/>
    <w:rsid w:val="00741321"/>
    <w:rsid w:val="0074134C"/>
    <w:rsid w:val="0074137E"/>
    <w:rsid w:val="007414D5"/>
    <w:rsid w:val="00741795"/>
    <w:rsid w:val="00741808"/>
    <w:rsid w:val="0074184D"/>
    <w:rsid w:val="007418B7"/>
    <w:rsid w:val="00741997"/>
    <w:rsid w:val="00741E38"/>
    <w:rsid w:val="0074223B"/>
    <w:rsid w:val="00742485"/>
    <w:rsid w:val="007424EE"/>
    <w:rsid w:val="0074273F"/>
    <w:rsid w:val="00742769"/>
    <w:rsid w:val="00742805"/>
    <w:rsid w:val="00742810"/>
    <w:rsid w:val="00742F21"/>
    <w:rsid w:val="007430F3"/>
    <w:rsid w:val="00743841"/>
    <w:rsid w:val="00743A1B"/>
    <w:rsid w:val="00743BD0"/>
    <w:rsid w:val="00743D04"/>
    <w:rsid w:val="00743DCA"/>
    <w:rsid w:val="00744006"/>
    <w:rsid w:val="00744047"/>
    <w:rsid w:val="007441A5"/>
    <w:rsid w:val="00744360"/>
    <w:rsid w:val="007443AE"/>
    <w:rsid w:val="007443C7"/>
    <w:rsid w:val="007445A0"/>
    <w:rsid w:val="00744637"/>
    <w:rsid w:val="00744D00"/>
    <w:rsid w:val="00744D99"/>
    <w:rsid w:val="00744DD2"/>
    <w:rsid w:val="007453F0"/>
    <w:rsid w:val="0074546E"/>
    <w:rsid w:val="0074547E"/>
    <w:rsid w:val="007454AE"/>
    <w:rsid w:val="007455A0"/>
    <w:rsid w:val="0074569A"/>
    <w:rsid w:val="007458CF"/>
    <w:rsid w:val="00745914"/>
    <w:rsid w:val="00745BE0"/>
    <w:rsid w:val="00745CEC"/>
    <w:rsid w:val="00745D3F"/>
    <w:rsid w:val="00745E20"/>
    <w:rsid w:val="007460EC"/>
    <w:rsid w:val="00746124"/>
    <w:rsid w:val="00746492"/>
    <w:rsid w:val="00746580"/>
    <w:rsid w:val="007466AB"/>
    <w:rsid w:val="007468A8"/>
    <w:rsid w:val="007468F4"/>
    <w:rsid w:val="00746AB4"/>
    <w:rsid w:val="00746DEF"/>
    <w:rsid w:val="007473F1"/>
    <w:rsid w:val="007474A9"/>
    <w:rsid w:val="00747B57"/>
    <w:rsid w:val="00747F3E"/>
    <w:rsid w:val="00750232"/>
    <w:rsid w:val="00750293"/>
    <w:rsid w:val="007503F2"/>
    <w:rsid w:val="007504DA"/>
    <w:rsid w:val="00750A5B"/>
    <w:rsid w:val="00750B01"/>
    <w:rsid w:val="00750B05"/>
    <w:rsid w:val="00750BF1"/>
    <w:rsid w:val="0075100C"/>
    <w:rsid w:val="00751128"/>
    <w:rsid w:val="00751181"/>
    <w:rsid w:val="007511B5"/>
    <w:rsid w:val="007513B4"/>
    <w:rsid w:val="00751681"/>
    <w:rsid w:val="0075168E"/>
    <w:rsid w:val="007518B6"/>
    <w:rsid w:val="00751C07"/>
    <w:rsid w:val="00751EC3"/>
    <w:rsid w:val="00751F91"/>
    <w:rsid w:val="00752249"/>
    <w:rsid w:val="007522E2"/>
    <w:rsid w:val="00752380"/>
    <w:rsid w:val="00752682"/>
    <w:rsid w:val="00752801"/>
    <w:rsid w:val="00752952"/>
    <w:rsid w:val="00752C7B"/>
    <w:rsid w:val="00752C97"/>
    <w:rsid w:val="00752F13"/>
    <w:rsid w:val="00753043"/>
    <w:rsid w:val="00753174"/>
    <w:rsid w:val="007531E4"/>
    <w:rsid w:val="007532DF"/>
    <w:rsid w:val="007534DB"/>
    <w:rsid w:val="0075351B"/>
    <w:rsid w:val="0075362F"/>
    <w:rsid w:val="00753CE7"/>
    <w:rsid w:val="00753E01"/>
    <w:rsid w:val="00753E76"/>
    <w:rsid w:val="007540C6"/>
    <w:rsid w:val="00754721"/>
    <w:rsid w:val="007549EB"/>
    <w:rsid w:val="00754A41"/>
    <w:rsid w:val="00754B02"/>
    <w:rsid w:val="00754E36"/>
    <w:rsid w:val="00754F98"/>
    <w:rsid w:val="0075510F"/>
    <w:rsid w:val="0075567C"/>
    <w:rsid w:val="007556F0"/>
    <w:rsid w:val="00755702"/>
    <w:rsid w:val="00755884"/>
    <w:rsid w:val="007558DC"/>
    <w:rsid w:val="00755921"/>
    <w:rsid w:val="00755937"/>
    <w:rsid w:val="0075597D"/>
    <w:rsid w:val="00755A08"/>
    <w:rsid w:val="00755A2A"/>
    <w:rsid w:val="00755A52"/>
    <w:rsid w:val="00755B6E"/>
    <w:rsid w:val="00755B7C"/>
    <w:rsid w:val="00755C3C"/>
    <w:rsid w:val="00755FCE"/>
    <w:rsid w:val="00756124"/>
    <w:rsid w:val="00756266"/>
    <w:rsid w:val="007562B3"/>
    <w:rsid w:val="0075656B"/>
    <w:rsid w:val="0075662F"/>
    <w:rsid w:val="00756698"/>
    <w:rsid w:val="007567CD"/>
    <w:rsid w:val="00756AB2"/>
    <w:rsid w:val="00756E6F"/>
    <w:rsid w:val="00756FC6"/>
    <w:rsid w:val="007573A7"/>
    <w:rsid w:val="007573B0"/>
    <w:rsid w:val="00757438"/>
    <w:rsid w:val="007574E2"/>
    <w:rsid w:val="00757753"/>
    <w:rsid w:val="007577CD"/>
    <w:rsid w:val="007578EA"/>
    <w:rsid w:val="00757933"/>
    <w:rsid w:val="00757A30"/>
    <w:rsid w:val="00757A5A"/>
    <w:rsid w:val="00757F4A"/>
    <w:rsid w:val="00757FBC"/>
    <w:rsid w:val="00760454"/>
    <w:rsid w:val="007605C8"/>
    <w:rsid w:val="00760970"/>
    <w:rsid w:val="00760E65"/>
    <w:rsid w:val="00760F2E"/>
    <w:rsid w:val="00760FB0"/>
    <w:rsid w:val="007611BB"/>
    <w:rsid w:val="0076139E"/>
    <w:rsid w:val="007613B7"/>
    <w:rsid w:val="007615D5"/>
    <w:rsid w:val="007616DB"/>
    <w:rsid w:val="007616F8"/>
    <w:rsid w:val="007617DC"/>
    <w:rsid w:val="00761C78"/>
    <w:rsid w:val="00761C88"/>
    <w:rsid w:val="00761D92"/>
    <w:rsid w:val="00762155"/>
    <w:rsid w:val="007621C9"/>
    <w:rsid w:val="007621CE"/>
    <w:rsid w:val="007623EC"/>
    <w:rsid w:val="00762405"/>
    <w:rsid w:val="00762466"/>
    <w:rsid w:val="0076247C"/>
    <w:rsid w:val="0076249B"/>
    <w:rsid w:val="007624FA"/>
    <w:rsid w:val="00762550"/>
    <w:rsid w:val="00762602"/>
    <w:rsid w:val="007628D8"/>
    <w:rsid w:val="0076296F"/>
    <w:rsid w:val="0076297A"/>
    <w:rsid w:val="00762ACC"/>
    <w:rsid w:val="00762B6D"/>
    <w:rsid w:val="00762CF9"/>
    <w:rsid w:val="00762F5A"/>
    <w:rsid w:val="00762FCF"/>
    <w:rsid w:val="0076303B"/>
    <w:rsid w:val="007630E9"/>
    <w:rsid w:val="00763344"/>
    <w:rsid w:val="00763687"/>
    <w:rsid w:val="0076380E"/>
    <w:rsid w:val="0076381B"/>
    <w:rsid w:val="0076381D"/>
    <w:rsid w:val="00763AE0"/>
    <w:rsid w:val="00763B81"/>
    <w:rsid w:val="00763B84"/>
    <w:rsid w:val="00763C0D"/>
    <w:rsid w:val="007640D8"/>
    <w:rsid w:val="0076434C"/>
    <w:rsid w:val="007645D1"/>
    <w:rsid w:val="007646D5"/>
    <w:rsid w:val="0076479C"/>
    <w:rsid w:val="00764E63"/>
    <w:rsid w:val="00764FAF"/>
    <w:rsid w:val="0076509C"/>
    <w:rsid w:val="007652B7"/>
    <w:rsid w:val="00765780"/>
    <w:rsid w:val="007658D8"/>
    <w:rsid w:val="007659D0"/>
    <w:rsid w:val="00765D2D"/>
    <w:rsid w:val="00765D7D"/>
    <w:rsid w:val="00765E72"/>
    <w:rsid w:val="00765EB6"/>
    <w:rsid w:val="00766015"/>
    <w:rsid w:val="007661E7"/>
    <w:rsid w:val="0076686D"/>
    <w:rsid w:val="00766EA2"/>
    <w:rsid w:val="0076725F"/>
    <w:rsid w:val="00767364"/>
    <w:rsid w:val="007674CA"/>
    <w:rsid w:val="00767978"/>
    <w:rsid w:val="00767A83"/>
    <w:rsid w:val="00767AB2"/>
    <w:rsid w:val="00767B3C"/>
    <w:rsid w:val="00767C48"/>
    <w:rsid w:val="00767D4E"/>
    <w:rsid w:val="00767E1A"/>
    <w:rsid w:val="007700FB"/>
    <w:rsid w:val="007702B1"/>
    <w:rsid w:val="00770338"/>
    <w:rsid w:val="007705E1"/>
    <w:rsid w:val="007705F4"/>
    <w:rsid w:val="0077094C"/>
    <w:rsid w:val="00770B8A"/>
    <w:rsid w:val="00770D3E"/>
    <w:rsid w:val="00770D46"/>
    <w:rsid w:val="00770F23"/>
    <w:rsid w:val="007712AE"/>
    <w:rsid w:val="00771352"/>
    <w:rsid w:val="00771494"/>
    <w:rsid w:val="0077166E"/>
    <w:rsid w:val="00771697"/>
    <w:rsid w:val="007716E0"/>
    <w:rsid w:val="0077199E"/>
    <w:rsid w:val="00771DB7"/>
    <w:rsid w:val="00771E89"/>
    <w:rsid w:val="00771ED9"/>
    <w:rsid w:val="00771EDC"/>
    <w:rsid w:val="00771F87"/>
    <w:rsid w:val="00772117"/>
    <w:rsid w:val="007722D4"/>
    <w:rsid w:val="00772692"/>
    <w:rsid w:val="007727F1"/>
    <w:rsid w:val="00772A43"/>
    <w:rsid w:val="007730D8"/>
    <w:rsid w:val="00773547"/>
    <w:rsid w:val="0077382F"/>
    <w:rsid w:val="00773B60"/>
    <w:rsid w:val="00773DAE"/>
    <w:rsid w:val="00773F29"/>
    <w:rsid w:val="00774738"/>
    <w:rsid w:val="00774AF6"/>
    <w:rsid w:val="00774DBD"/>
    <w:rsid w:val="00775220"/>
    <w:rsid w:val="007754B3"/>
    <w:rsid w:val="007754D0"/>
    <w:rsid w:val="007755BE"/>
    <w:rsid w:val="007758C9"/>
    <w:rsid w:val="00775913"/>
    <w:rsid w:val="00775D2E"/>
    <w:rsid w:val="00775DA0"/>
    <w:rsid w:val="00775F87"/>
    <w:rsid w:val="00776106"/>
    <w:rsid w:val="00776245"/>
    <w:rsid w:val="0077625B"/>
    <w:rsid w:val="007767C4"/>
    <w:rsid w:val="00776AD7"/>
    <w:rsid w:val="00776AF5"/>
    <w:rsid w:val="00776B31"/>
    <w:rsid w:val="00776CAF"/>
    <w:rsid w:val="00776EA4"/>
    <w:rsid w:val="007772A6"/>
    <w:rsid w:val="00777447"/>
    <w:rsid w:val="0077752F"/>
    <w:rsid w:val="007775F9"/>
    <w:rsid w:val="007777B7"/>
    <w:rsid w:val="00777917"/>
    <w:rsid w:val="00777D64"/>
    <w:rsid w:val="00777F42"/>
    <w:rsid w:val="00777FC8"/>
    <w:rsid w:val="00777FD4"/>
    <w:rsid w:val="00780567"/>
    <w:rsid w:val="007805A8"/>
    <w:rsid w:val="00780669"/>
    <w:rsid w:val="00780863"/>
    <w:rsid w:val="00780A78"/>
    <w:rsid w:val="00780A93"/>
    <w:rsid w:val="00780B28"/>
    <w:rsid w:val="00780C27"/>
    <w:rsid w:val="00780E91"/>
    <w:rsid w:val="00780EF7"/>
    <w:rsid w:val="00781150"/>
    <w:rsid w:val="0078128F"/>
    <w:rsid w:val="00781718"/>
    <w:rsid w:val="00781A7D"/>
    <w:rsid w:val="00781B55"/>
    <w:rsid w:val="00781D5B"/>
    <w:rsid w:val="00782037"/>
    <w:rsid w:val="007820AA"/>
    <w:rsid w:val="007822EE"/>
    <w:rsid w:val="007823FC"/>
    <w:rsid w:val="00782544"/>
    <w:rsid w:val="0078270A"/>
    <w:rsid w:val="00782B2A"/>
    <w:rsid w:val="00782C70"/>
    <w:rsid w:val="00782E30"/>
    <w:rsid w:val="00782EE9"/>
    <w:rsid w:val="00783141"/>
    <w:rsid w:val="00783582"/>
    <w:rsid w:val="0078361A"/>
    <w:rsid w:val="00783637"/>
    <w:rsid w:val="007839C2"/>
    <w:rsid w:val="00783ADB"/>
    <w:rsid w:val="00783AE3"/>
    <w:rsid w:val="00783E90"/>
    <w:rsid w:val="00783F0E"/>
    <w:rsid w:val="00784931"/>
    <w:rsid w:val="00784A64"/>
    <w:rsid w:val="00784B5A"/>
    <w:rsid w:val="00784E39"/>
    <w:rsid w:val="007854C6"/>
    <w:rsid w:val="00785A83"/>
    <w:rsid w:val="00785AF7"/>
    <w:rsid w:val="00785BD7"/>
    <w:rsid w:val="00785FDD"/>
    <w:rsid w:val="007861CB"/>
    <w:rsid w:val="00786294"/>
    <w:rsid w:val="0078646F"/>
    <w:rsid w:val="007865A1"/>
    <w:rsid w:val="0078665F"/>
    <w:rsid w:val="00786852"/>
    <w:rsid w:val="007869FD"/>
    <w:rsid w:val="00786D79"/>
    <w:rsid w:val="00786EBD"/>
    <w:rsid w:val="00786ED4"/>
    <w:rsid w:val="007873CB"/>
    <w:rsid w:val="007874C3"/>
    <w:rsid w:val="00787510"/>
    <w:rsid w:val="00787637"/>
    <w:rsid w:val="007876C5"/>
    <w:rsid w:val="00787BA9"/>
    <w:rsid w:val="00787BB5"/>
    <w:rsid w:val="00787D46"/>
    <w:rsid w:val="00790310"/>
    <w:rsid w:val="00790315"/>
    <w:rsid w:val="00790387"/>
    <w:rsid w:val="007903AD"/>
    <w:rsid w:val="007904B6"/>
    <w:rsid w:val="0079066B"/>
    <w:rsid w:val="007908BF"/>
    <w:rsid w:val="00790BF8"/>
    <w:rsid w:val="00790CD0"/>
    <w:rsid w:val="00790DA3"/>
    <w:rsid w:val="00790E01"/>
    <w:rsid w:val="007910BB"/>
    <w:rsid w:val="0079134D"/>
    <w:rsid w:val="007915A5"/>
    <w:rsid w:val="00791891"/>
    <w:rsid w:val="00791B66"/>
    <w:rsid w:val="0079233E"/>
    <w:rsid w:val="00792410"/>
    <w:rsid w:val="007925C5"/>
    <w:rsid w:val="00792767"/>
    <w:rsid w:val="0079282A"/>
    <w:rsid w:val="00792A1A"/>
    <w:rsid w:val="00793065"/>
    <w:rsid w:val="00793130"/>
    <w:rsid w:val="0079321A"/>
    <w:rsid w:val="007933ED"/>
    <w:rsid w:val="007934F2"/>
    <w:rsid w:val="007937A7"/>
    <w:rsid w:val="00793951"/>
    <w:rsid w:val="00793AD6"/>
    <w:rsid w:val="00793BE5"/>
    <w:rsid w:val="00793E61"/>
    <w:rsid w:val="0079406B"/>
    <w:rsid w:val="007940FC"/>
    <w:rsid w:val="00794181"/>
    <w:rsid w:val="00794307"/>
    <w:rsid w:val="00794529"/>
    <w:rsid w:val="0079461D"/>
    <w:rsid w:val="00794746"/>
    <w:rsid w:val="00794968"/>
    <w:rsid w:val="00794A06"/>
    <w:rsid w:val="00794A13"/>
    <w:rsid w:val="00794B0D"/>
    <w:rsid w:val="0079529C"/>
    <w:rsid w:val="00795381"/>
    <w:rsid w:val="0079580A"/>
    <w:rsid w:val="00795955"/>
    <w:rsid w:val="00795995"/>
    <w:rsid w:val="00795DE2"/>
    <w:rsid w:val="00795F08"/>
    <w:rsid w:val="00795F73"/>
    <w:rsid w:val="007960CB"/>
    <w:rsid w:val="00796198"/>
    <w:rsid w:val="007961CA"/>
    <w:rsid w:val="007962FB"/>
    <w:rsid w:val="007966AF"/>
    <w:rsid w:val="00796899"/>
    <w:rsid w:val="00796A13"/>
    <w:rsid w:val="00796B5A"/>
    <w:rsid w:val="00796DF1"/>
    <w:rsid w:val="00796F52"/>
    <w:rsid w:val="00796F64"/>
    <w:rsid w:val="00796F86"/>
    <w:rsid w:val="00796FC2"/>
    <w:rsid w:val="0079738B"/>
    <w:rsid w:val="007978AA"/>
    <w:rsid w:val="00797B65"/>
    <w:rsid w:val="00797BFA"/>
    <w:rsid w:val="00797C78"/>
    <w:rsid w:val="00797CEF"/>
    <w:rsid w:val="00797DBF"/>
    <w:rsid w:val="00797DD0"/>
    <w:rsid w:val="007A00E3"/>
    <w:rsid w:val="007A01DE"/>
    <w:rsid w:val="007A02D1"/>
    <w:rsid w:val="007A082C"/>
    <w:rsid w:val="007A0D1D"/>
    <w:rsid w:val="007A0E0C"/>
    <w:rsid w:val="007A0F62"/>
    <w:rsid w:val="007A0F64"/>
    <w:rsid w:val="007A1041"/>
    <w:rsid w:val="007A1428"/>
    <w:rsid w:val="007A193B"/>
    <w:rsid w:val="007A19CA"/>
    <w:rsid w:val="007A1B01"/>
    <w:rsid w:val="007A1CC5"/>
    <w:rsid w:val="007A1D56"/>
    <w:rsid w:val="007A1FC4"/>
    <w:rsid w:val="007A2105"/>
    <w:rsid w:val="007A229E"/>
    <w:rsid w:val="007A260C"/>
    <w:rsid w:val="007A29B0"/>
    <w:rsid w:val="007A2A1C"/>
    <w:rsid w:val="007A2AAD"/>
    <w:rsid w:val="007A2ADB"/>
    <w:rsid w:val="007A2B70"/>
    <w:rsid w:val="007A2B7F"/>
    <w:rsid w:val="007A2C96"/>
    <w:rsid w:val="007A2C9F"/>
    <w:rsid w:val="007A334D"/>
    <w:rsid w:val="007A3442"/>
    <w:rsid w:val="007A344D"/>
    <w:rsid w:val="007A34C3"/>
    <w:rsid w:val="007A34EC"/>
    <w:rsid w:val="007A34F9"/>
    <w:rsid w:val="007A379C"/>
    <w:rsid w:val="007A39CF"/>
    <w:rsid w:val="007A3DB8"/>
    <w:rsid w:val="007A3FB0"/>
    <w:rsid w:val="007A3FEB"/>
    <w:rsid w:val="007A4059"/>
    <w:rsid w:val="007A44D0"/>
    <w:rsid w:val="007A4649"/>
    <w:rsid w:val="007A465C"/>
    <w:rsid w:val="007A4996"/>
    <w:rsid w:val="007A4C52"/>
    <w:rsid w:val="007A4CCC"/>
    <w:rsid w:val="007A4F6E"/>
    <w:rsid w:val="007A51A2"/>
    <w:rsid w:val="007A52DB"/>
    <w:rsid w:val="007A53F6"/>
    <w:rsid w:val="007A5417"/>
    <w:rsid w:val="007A5466"/>
    <w:rsid w:val="007A548A"/>
    <w:rsid w:val="007A54BB"/>
    <w:rsid w:val="007A5842"/>
    <w:rsid w:val="007A5AB8"/>
    <w:rsid w:val="007A5C27"/>
    <w:rsid w:val="007A5F50"/>
    <w:rsid w:val="007A60D5"/>
    <w:rsid w:val="007A6254"/>
    <w:rsid w:val="007A62E5"/>
    <w:rsid w:val="007A64AB"/>
    <w:rsid w:val="007A64AF"/>
    <w:rsid w:val="007A6525"/>
    <w:rsid w:val="007A65C8"/>
    <w:rsid w:val="007A6A18"/>
    <w:rsid w:val="007A6A82"/>
    <w:rsid w:val="007A6DB9"/>
    <w:rsid w:val="007A78C4"/>
    <w:rsid w:val="007A796E"/>
    <w:rsid w:val="007A797A"/>
    <w:rsid w:val="007A7A91"/>
    <w:rsid w:val="007A7B47"/>
    <w:rsid w:val="007A7DCF"/>
    <w:rsid w:val="007A7EBF"/>
    <w:rsid w:val="007A7FB6"/>
    <w:rsid w:val="007B0017"/>
    <w:rsid w:val="007B01E2"/>
    <w:rsid w:val="007B02B3"/>
    <w:rsid w:val="007B0420"/>
    <w:rsid w:val="007B04C2"/>
    <w:rsid w:val="007B07CD"/>
    <w:rsid w:val="007B07E5"/>
    <w:rsid w:val="007B07F9"/>
    <w:rsid w:val="007B0A35"/>
    <w:rsid w:val="007B0B1A"/>
    <w:rsid w:val="007B0B29"/>
    <w:rsid w:val="007B0B3A"/>
    <w:rsid w:val="007B0D51"/>
    <w:rsid w:val="007B0E29"/>
    <w:rsid w:val="007B0E2E"/>
    <w:rsid w:val="007B128E"/>
    <w:rsid w:val="007B12D5"/>
    <w:rsid w:val="007B15D3"/>
    <w:rsid w:val="007B15F6"/>
    <w:rsid w:val="007B184A"/>
    <w:rsid w:val="007B19CD"/>
    <w:rsid w:val="007B1D75"/>
    <w:rsid w:val="007B1FAC"/>
    <w:rsid w:val="007B1FF2"/>
    <w:rsid w:val="007B2004"/>
    <w:rsid w:val="007B214E"/>
    <w:rsid w:val="007B2163"/>
    <w:rsid w:val="007B252F"/>
    <w:rsid w:val="007B26CE"/>
    <w:rsid w:val="007B26F8"/>
    <w:rsid w:val="007B281D"/>
    <w:rsid w:val="007B2955"/>
    <w:rsid w:val="007B296F"/>
    <w:rsid w:val="007B29AB"/>
    <w:rsid w:val="007B2B81"/>
    <w:rsid w:val="007B2BB1"/>
    <w:rsid w:val="007B2D35"/>
    <w:rsid w:val="007B2FCB"/>
    <w:rsid w:val="007B30DC"/>
    <w:rsid w:val="007B32BB"/>
    <w:rsid w:val="007B35BC"/>
    <w:rsid w:val="007B362A"/>
    <w:rsid w:val="007B3631"/>
    <w:rsid w:val="007B37B4"/>
    <w:rsid w:val="007B3934"/>
    <w:rsid w:val="007B3A16"/>
    <w:rsid w:val="007B3C37"/>
    <w:rsid w:val="007B3C58"/>
    <w:rsid w:val="007B3C95"/>
    <w:rsid w:val="007B3CBF"/>
    <w:rsid w:val="007B3D0B"/>
    <w:rsid w:val="007B402A"/>
    <w:rsid w:val="007B45D4"/>
    <w:rsid w:val="007B47A3"/>
    <w:rsid w:val="007B48AB"/>
    <w:rsid w:val="007B4C38"/>
    <w:rsid w:val="007B5016"/>
    <w:rsid w:val="007B5285"/>
    <w:rsid w:val="007B53A3"/>
    <w:rsid w:val="007B5437"/>
    <w:rsid w:val="007B5522"/>
    <w:rsid w:val="007B5667"/>
    <w:rsid w:val="007B5727"/>
    <w:rsid w:val="007B5841"/>
    <w:rsid w:val="007B5869"/>
    <w:rsid w:val="007B58DE"/>
    <w:rsid w:val="007B5BFB"/>
    <w:rsid w:val="007B5CC9"/>
    <w:rsid w:val="007B5D9B"/>
    <w:rsid w:val="007B5EBD"/>
    <w:rsid w:val="007B605B"/>
    <w:rsid w:val="007B61CC"/>
    <w:rsid w:val="007B6376"/>
    <w:rsid w:val="007B64B3"/>
    <w:rsid w:val="007B659B"/>
    <w:rsid w:val="007B65CD"/>
    <w:rsid w:val="007B6842"/>
    <w:rsid w:val="007B6968"/>
    <w:rsid w:val="007B6AB1"/>
    <w:rsid w:val="007B6C3B"/>
    <w:rsid w:val="007B6C63"/>
    <w:rsid w:val="007B6D81"/>
    <w:rsid w:val="007B6DD8"/>
    <w:rsid w:val="007B6E4F"/>
    <w:rsid w:val="007B7211"/>
    <w:rsid w:val="007B7258"/>
    <w:rsid w:val="007B72CB"/>
    <w:rsid w:val="007B7626"/>
    <w:rsid w:val="007B76E0"/>
    <w:rsid w:val="007B776F"/>
    <w:rsid w:val="007B77AC"/>
    <w:rsid w:val="007B77AD"/>
    <w:rsid w:val="007B7A97"/>
    <w:rsid w:val="007B7AFC"/>
    <w:rsid w:val="007B7CE9"/>
    <w:rsid w:val="007B7D78"/>
    <w:rsid w:val="007B7E32"/>
    <w:rsid w:val="007B7F4E"/>
    <w:rsid w:val="007B7F60"/>
    <w:rsid w:val="007C007E"/>
    <w:rsid w:val="007C0220"/>
    <w:rsid w:val="007C0251"/>
    <w:rsid w:val="007C039C"/>
    <w:rsid w:val="007C03AE"/>
    <w:rsid w:val="007C05F4"/>
    <w:rsid w:val="007C081B"/>
    <w:rsid w:val="007C0A4B"/>
    <w:rsid w:val="007C0B98"/>
    <w:rsid w:val="007C1055"/>
    <w:rsid w:val="007C146D"/>
    <w:rsid w:val="007C1723"/>
    <w:rsid w:val="007C173A"/>
    <w:rsid w:val="007C1ABE"/>
    <w:rsid w:val="007C1AD7"/>
    <w:rsid w:val="007C1BB9"/>
    <w:rsid w:val="007C1C6F"/>
    <w:rsid w:val="007C1D1A"/>
    <w:rsid w:val="007C1D32"/>
    <w:rsid w:val="007C1DB1"/>
    <w:rsid w:val="007C1E5E"/>
    <w:rsid w:val="007C204C"/>
    <w:rsid w:val="007C2278"/>
    <w:rsid w:val="007C2405"/>
    <w:rsid w:val="007C2577"/>
    <w:rsid w:val="007C2602"/>
    <w:rsid w:val="007C31AD"/>
    <w:rsid w:val="007C31BC"/>
    <w:rsid w:val="007C333C"/>
    <w:rsid w:val="007C35C5"/>
    <w:rsid w:val="007C366C"/>
    <w:rsid w:val="007C370D"/>
    <w:rsid w:val="007C3850"/>
    <w:rsid w:val="007C38D6"/>
    <w:rsid w:val="007C390A"/>
    <w:rsid w:val="007C3A2D"/>
    <w:rsid w:val="007C3B6F"/>
    <w:rsid w:val="007C3CBD"/>
    <w:rsid w:val="007C3E35"/>
    <w:rsid w:val="007C3E85"/>
    <w:rsid w:val="007C3F54"/>
    <w:rsid w:val="007C406D"/>
    <w:rsid w:val="007C4219"/>
    <w:rsid w:val="007C424E"/>
    <w:rsid w:val="007C4261"/>
    <w:rsid w:val="007C487C"/>
    <w:rsid w:val="007C4B90"/>
    <w:rsid w:val="007C4C02"/>
    <w:rsid w:val="007C4CAB"/>
    <w:rsid w:val="007C4CE6"/>
    <w:rsid w:val="007C505D"/>
    <w:rsid w:val="007C5079"/>
    <w:rsid w:val="007C554E"/>
    <w:rsid w:val="007C564D"/>
    <w:rsid w:val="007C5759"/>
    <w:rsid w:val="007C5C63"/>
    <w:rsid w:val="007C5C91"/>
    <w:rsid w:val="007C5FC9"/>
    <w:rsid w:val="007C61A1"/>
    <w:rsid w:val="007C638D"/>
    <w:rsid w:val="007C67BB"/>
    <w:rsid w:val="007C68C7"/>
    <w:rsid w:val="007C6D12"/>
    <w:rsid w:val="007C6E1A"/>
    <w:rsid w:val="007C7245"/>
    <w:rsid w:val="007C7446"/>
    <w:rsid w:val="007C7927"/>
    <w:rsid w:val="007C793B"/>
    <w:rsid w:val="007C7DEE"/>
    <w:rsid w:val="007C7E32"/>
    <w:rsid w:val="007D0019"/>
    <w:rsid w:val="007D01F5"/>
    <w:rsid w:val="007D0238"/>
    <w:rsid w:val="007D04AD"/>
    <w:rsid w:val="007D0A3F"/>
    <w:rsid w:val="007D0C08"/>
    <w:rsid w:val="007D0CAA"/>
    <w:rsid w:val="007D0E1A"/>
    <w:rsid w:val="007D0F2E"/>
    <w:rsid w:val="007D0FE8"/>
    <w:rsid w:val="007D0FEE"/>
    <w:rsid w:val="007D1120"/>
    <w:rsid w:val="007D11F2"/>
    <w:rsid w:val="007D15B0"/>
    <w:rsid w:val="007D169F"/>
    <w:rsid w:val="007D19E7"/>
    <w:rsid w:val="007D1D52"/>
    <w:rsid w:val="007D1DBC"/>
    <w:rsid w:val="007D1EBC"/>
    <w:rsid w:val="007D2040"/>
    <w:rsid w:val="007D23B1"/>
    <w:rsid w:val="007D2436"/>
    <w:rsid w:val="007D26CD"/>
    <w:rsid w:val="007D28D4"/>
    <w:rsid w:val="007D296F"/>
    <w:rsid w:val="007D2B25"/>
    <w:rsid w:val="007D2BB0"/>
    <w:rsid w:val="007D2C16"/>
    <w:rsid w:val="007D2D11"/>
    <w:rsid w:val="007D2DAF"/>
    <w:rsid w:val="007D2F65"/>
    <w:rsid w:val="007D327C"/>
    <w:rsid w:val="007D3474"/>
    <w:rsid w:val="007D349E"/>
    <w:rsid w:val="007D34DC"/>
    <w:rsid w:val="007D3520"/>
    <w:rsid w:val="007D3740"/>
    <w:rsid w:val="007D3756"/>
    <w:rsid w:val="007D3757"/>
    <w:rsid w:val="007D3CBE"/>
    <w:rsid w:val="007D3CC7"/>
    <w:rsid w:val="007D406F"/>
    <w:rsid w:val="007D4156"/>
    <w:rsid w:val="007D429D"/>
    <w:rsid w:val="007D42FF"/>
    <w:rsid w:val="007D43F3"/>
    <w:rsid w:val="007D449E"/>
    <w:rsid w:val="007D48CC"/>
    <w:rsid w:val="007D4A96"/>
    <w:rsid w:val="007D4A9D"/>
    <w:rsid w:val="007D4B24"/>
    <w:rsid w:val="007D4B2E"/>
    <w:rsid w:val="007D4D3D"/>
    <w:rsid w:val="007D4DD3"/>
    <w:rsid w:val="007D4E00"/>
    <w:rsid w:val="007D500E"/>
    <w:rsid w:val="007D502C"/>
    <w:rsid w:val="007D5127"/>
    <w:rsid w:val="007D52BB"/>
    <w:rsid w:val="007D533E"/>
    <w:rsid w:val="007D55BA"/>
    <w:rsid w:val="007D55CC"/>
    <w:rsid w:val="007D59A2"/>
    <w:rsid w:val="007D59FB"/>
    <w:rsid w:val="007D5C19"/>
    <w:rsid w:val="007D5D76"/>
    <w:rsid w:val="007D5DE0"/>
    <w:rsid w:val="007D605E"/>
    <w:rsid w:val="007D60CF"/>
    <w:rsid w:val="007D60E8"/>
    <w:rsid w:val="007D60F5"/>
    <w:rsid w:val="007D6223"/>
    <w:rsid w:val="007D628A"/>
    <w:rsid w:val="007D63B0"/>
    <w:rsid w:val="007D659E"/>
    <w:rsid w:val="007D67B3"/>
    <w:rsid w:val="007D68A3"/>
    <w:rsid w:val="007D68E0"/>
    <w:rsid w:val="007D69BE"/>
    <w:rsid w:val="007D6A8F"/>
    <w:rsid w:val="007D6AFE"/>
    <w:rsid w:val="007D6F86"/>
    <w:rsid w:val="007D6F96"/>
    <w:rsid w:val="007D6FC5"/>
    <w:rsid w:val="007D7625"/>
    <w:rsid w:val="007D767D"/>
    <w:rsid w:val="007D7793"/>
    <w:rsid w:val="007D779F"/>
    <w:rsid w:val="007D77AC"/>
    <w:rsid w:val="007D7912"/>
    <w:rsid w:val="007D7B5A"/>
    <w:rsid w:val="007D7E60"/>
    <w:rsid w:val="007E0351"/>
    <w:rsid w:val="007E0558"/>
    <w:rsid w:val="007E05F9"/>
    <w:rsid w:val="007E07E2"/>
    <w:rsid w:val="007E0A30"/>
    <w:rsid w:val="007E0AF5"/>
    <w:rsid w:val="007E0CFA"/>
    <w:rsid w:val="007E0E2C"/>
    <w:rsid w:val="007E0FF1"/>
    <w:rsid w:val="007E10D3"/>
    <w:rsid w:val="007E17E3"/>
    <w:rsid w:val="007E1BB4"/>
    <w:rsid w:val="007E205B"/>
    <w:rsid w:val="007E20D3"/>
    <w:rsid w:val="007E21F5"/>
    <w:rsid w:val="007E2418"/>
    <w:rsid w:val="007E2943"/>
    <w:rsid w:val="007E2CEF"/>
    <w:rsid w:val="007E2D7F"/>
    <w:rsid w:val="007E2DE1"/>
    <w:rsid w:val="007E2FC1"/>
    <w:rsid w:val="007E307C"/>
    <w:rsid w:val="007E31FF"/>
    <w:rsid w:val="007E337E"/>
    <w:rsid w:val="007E3420"/>
    <w:rsid w:val="007E37D2"/>
    <w:rsid w:val="007E37EA"/>
    <w:rsid w:val="007E3AD4"/>
    <w:rsid w:val="007E3DED"/>
    <w:rsid w:val="007E3F4E"/>
    <w:rsid w:val="007E4028"/>
    <w:rsid w:val="007E415D"/>
    <w:rsid w:val="007E4197"/>
    <w:rsid w:val="007E437B"/>
    <w:rsid w:val="007E43E4"/>
    <w:rsid w:val="007E44B1"/>
    <w:rsid w:val="007E45A3"/>
    <w:rsid w:val="007E48A6"/>
    <w:rsid w:val="007E4A81"/>
    <w:rsid w:val="007E4B56"/>
    <w:rsid w:val="007E4C84"/>
    <w:rsid w:val="007E4E07"/>
    <w:rsid w:val="007E50EF"/>
    <w:rsid w:val="007E514A"/>
    <w:rsid w:val="007E517B"/>
    <w:rsid w:val="007E530A"/>
    <w:rsid w:val="007E53A9"/>
    <w:rsid w:val="007E57A4"/>
    <w:rsid w:val="007E59D8"/>
    <w:rsid w:val="007E5A16"/>
    <w:rsid w:val="007E5A5F"/>
    <w:rsid w:val="007E5E8D"/>
    <w:rsid w:val="007E5E95"/>
    <w:rsid w:val="007E6040"/>
    <w:rsid w:val="007E620E"/>
    <w:rsid w:val="007E645B"/>
    <w:rsid w:val="007E65BC"/>
    <w:rsid w:val="007E6696"/>
    <w:rsid w:val="007E6B30"/>
    <w:rsid w:val="007E6D60"/>
    <w:rsid w:val="007E6D89"/>
    <w:rsid w:val="007E6EE9"/>
    <w:rsid w:val="007E6F20"/>
    <w:rsid w:val="007E6FD2"/>
    <w:rsid w:val="007E6FFB"/>
    <w:rsid w:val="007E740E"/>
    <w:rsid w:val="007E744A"/>
    <w:rsid w:val="007E7527"/>
    <w:rsid w:val="007E75B3"/>
    <w:rsid w:val="007E7662"/>
    <w:rsid w:val="007E76B1"/>
    <w:rsid w:val="007E774D"/>
    <w:rsid w:val="007E77A3"/>
    <w:rsid w:val="007E7834"/>
    <w:rsid w:val="007E7A44"/>
    <w:rsid w:val="007E7B49"/>
    <w:rsid w:val="007E7EAC"/>
    <w:rsid w:val="007E7EF8"/>
    <w:rsid w:val="007F005A"/>
    <w:rsid w:val="007F02A0"/>
    <w:rsid w:val="007F0306"/>
    <w:rsid w:val="007F05A3"/>
    <w:rsid w:val="007F07F0"/>
    <w:rsid w:val="007F0809"/>
    <w:rsid w:val="007F089F"/>
    <w:rsid w:val="007F0985"/>
    <w:rsid w:val="007F09A2"/>
    <w:rsid w:val="007F0BF7"/>
    <w:rsid w:val="007F0F90"/>
    <w:rsid w:val="007F1047"/>
    <w:rsid w:val="007F123B"/>
    <w:rsid w:val="007F123F"/>
    <w:rsid w:val="007F14B1"/>
    <w:rsid w:val="007F14F4"/>
    <w:rsid w:val="007F15F1"/>
    <w:rsid w:val="007F16BB"/>
    <w:rsid w:val="007F1700"/>
    <w:rsid w:val="007F1782"/>
    <w:rsid w:val="007F1C7D"/>
    <w:rsid w:val="007F1D97"/>
    <w:rsid w:val="007F1F5C"/>
    <w:rsid w:val="007F1FF5"/>
    <w:rsid w:val="007F1FFE"/>
    <w:rsid w:val="007F2037"/>
    <w:rsid w:val="007F22BB"/>
    <w:rsid w:val="007F236D"/>
    <w:rsid w:val="007F2769"/>
    <w:rsid w:val="007F27D8"/>
    <w:rsid w:val="007F280F"/>
    <w:rsid w:val="007F28E3"/>
    <w:rsid w:val="007F2A12"/>
    <w:rsid w:val="007F2A2F"/>
    <w:rsid w:val="007F2C19"/>
    <w:rsid w:val="007F2C8C"/>
    <w:rsid w:val="007F2CDF"/>
    <w:rsid w:val="007F2CF0"/>
    <w:rsid w:val="007F2E1A"/>
    <w:rsid w:val="007F2FBA"/>
    <w:rsid w:val="007F2FDB"/>
    <w:rsid w:val="007F32A5"/>
    <w:rsid w:val="007F3365"/>
    <w:rsid w:val="007F362E"/>
    <w:rsid w:val="007F38C0"/>
    <w:rsid w:val="007F3ACF"/>
    <w:rsid w:val="007F3B2A"/>
    <w:rsid w:val="007F3C89"/>
    <w:rsid w:val="007F3F10"/>
    <w:rsid w:val="007F4523"/>
    <w:rsid w:val="007F45AF"/>
    <w:rsid w:val="007F46C1"/>
    <w:rsid w:val="007F4769"/>
    <w:rsid w:val="007F476E"/>
    <w:rsid w:val="007F4891"/>
    <w:rsid w:val="007F48A0"/>
    <w:rsid w:val="007F48F2"/>
    <w:rsid w:val="007F49A6"/>
    <w:rsid w:val="007F4AEA"/>
    <w:rsid w:val="007F4B53"/>
    <w:rsid w:val="007F4C32"/>
    <w:rsid w:val="007F4CB6"/>
    <w:rsid w:val="007F4D32"/>
    <w:rsid w:val="007F4FE7"/>
    <w:rsid w:val="007F54F8"/>
    <w:rsid w:val="007F5C37"/>
    <w:rsid w:val="007F5CC5"/>
    <w:rsid w:val="007F5DBB"/>
    <w:rsid w:val="007F5E75"/>
    <w:rsid w:val="007F5F75"/>
    <w:rsid w:val="007F6544"/>
    <w:rsid w:val="007F6795"/>
    <w:rsid w:val="007F68AC"/>
    <w:rsid w:val="007F6A86"/>
    <w:rsid w:val="007F6A9A"/>
    <w:rsid w:val="007F6AAB"/>
    <w:rsid w:val="007F6BBB"/>
    <w:rsid w:val="007F6BC0"/>
    <w:rsid w:val="007F6BDC"/>
    <w:rsid w:val="007F6C1E"/>
    <w:rsid w:val="007F6C4E"/>
    <w:rsid w:val="007F70AB"/>
    <w:rsid w:val="007F7631"/>
    <w:rsid w:val="007F7A1C"/>
    <w:rsid w:val="008000D7"/>
    <w:rsid w:val="00800173"/>
    <w:rsid w:val="008001AB"/>
    <w:rsid w:val="008002F0"/>
    <w:rsid w:val="008007F4"/>
    <w:rsid w:val="00800A7F"/>
    <w:rsid w:val="00800EDB"/>
    <w:rsid w:val="008010D1"/>
    <w:rsid w:val="0080114A"/>
    <w:rsid w:val="008011DB"/>
    <w:rsid w:val="008014FC"/>
    <w:rsid w:val="00801745"/>
    <w:rsid w:val="0080175C"/>
    <w:rsid w:val="0080194C"/>
    <w:rsid w:val="008019B2"/>
    <w:rsid w:val="00801AE3"/>
    <w:rsid w:val="00801B1D"/>
    <w:rsid w:val="00801BFB"/>
    <w:rsid w:val="00801C15"/>
    <w:rsid w:val="00801E58"/>
    <w:rsid w:val="00801F31"/>
    <w:rsid w:val="00801F88"/>
    <w:rsid w:val="00802034"/>
    <w:rsid w:val="008020C3"/>
    <w:rsid w:val="00802172"/>
    <w:rsid w:val="00802495"/>
    <w:rsid w:val="0080266C"/>
    <w:rsid w:val="00802EBE"/>
    <w:rsid w:val="00803324"/>
    <w:rsid w:val="0080342A"/>
    <w:rsid w:val="0080346E"/>
    <w:rsid w:val="00803897"/>
    <w:rsid w:val="00803AEB"/>
    <w:rsid w:val="00803C8F"/>
    <w:rsid w:val="00803F06"/>
    <w:rsid w:val="00803F11"/>
    <w:rsid w:val="00803FD6"/>
    <w:rsid w:val="008040E2"/>
    <w:rsid w:val="00804284"/>
    <w:rsid w:val="008042F4"/>
    <w:rsid w:val="008043BB"/>
    <w:rsid w:val="008043ED"/>
    <w:rsid w:val="0080444C"/>
    <w:rsid w:val="00804869"/>
    <w:rsid w:val="008048B9"/>
    <w:rsid w:val="00804BC2"/>
    <w:rsid w:val="00804E3A"/>
    <w:rsid w:val="0080521A"/>
    <w:rsid w:val="008056DC"/>
    <w:rsid w:val="0080577C"/>
    <w:rsid w:val="00805DFD"/>
    <w:rsid w:val="00806152"/>
    <w:rsid w:val="0080650E"/>
    <w:rsid w:val="008066AB"/>
    <w:rsid w:val="008068F2"/>
    <w:rsid w:val="008069DA"/>
    <w:rsid w:val="00806B82"/>
    <w:rsid w:val="00806BD7"/>
    <w:rsid w:val="00806DEA"/>
    <w:rsid w:val="00806E5A"/>
    <w:rsid w:val="00807567"/>
    <w:rsid w:val="0080776F"/>
    <w:rsid w:val="00807B33"/>
    <w:rsid w:val="00807BDA"/>
    <w:rsid w:val="00807D57"/>
    <w:rsid w:val="00807E1D"/>
    <w:rsid w:val="00807ED8"/>
    <w:rsid w:val="00807F62"/>
    <w:rsid w:val="0081014D"/>
    <w:rsid w:val="00810572"/>
    <w:rsid w:val="008109B7"/>
    <w:rsid w:val="00810D2D"/>
    <w:rsid w:val="00810DEA"/>
    <w:rsid w:val="00810F34"/>
    <w:rsid w:val="00810F84"/>
    <w:rsid w:val="0081111D"/>
    <w:rsid w:val="00811200"/>
    <w:rsid w:val="0081123B"/>
    <w:rsid w:val="00811259"/>
    <w:rsid w:val="008113BD"/>
    <w:rsid w:val="00811845"/>
    <w:rsid w:val="00811A2B"/>
    <w:rsid w:val="00811BBF"/>
    <w:rsid w:val="00811D67"/>
    <w:rsid w:val="0081210E"/>
    <w:rsid w:val="00812270"/>
    <w:rsid w:val="00812651"/>
    <w:rsid w:val="008128BD"/>
    <w:rsid w:val="00812B84"/>
    <w:rsid w:val="00812CDC"/>
    <w:rsid w:val="00812D37"/>
    <w:rsid w:val="00813401"/>
    <w:rsid w:val="00813809"/>
    <w:rsid w:val="0081385D"/>
    <w:rsid w:val="0081386E"/>
    <w:rsid w:val="0081387F"/>
    <w:rsid w:val="00813F0F"/>
    <w:rsid w:val="0081410D"/>
    <w:rsid w:val="00814178"/>
    <w:rsid w:val="00814206"/>
    <w:rsid w:val="00814810"/>
    <w:rsid w:val="00814996"/>
    <w:rsid w:val="00814BC6"/>
    <w:rsid w:val="00814CA2"/>
    <w:rsid w:val="00814CA9"/>
    <w:rsid w:val="00814CEC"/>
    <w:rsid w:val="00814D27"/>
    <w:rsid w:val="00814D94"/>
    <w:rsid w:val="008154E0"/>
    <w:rsid w:val="0081558C"/>
    <w:rsid w:val="0081561F"/>
    <w:rsid w:val="00815AFD"/>
    <w:rsid w:val="00815C4B"/>
    <w:rsid w:val="00816181"/>
    <w:rsid w:val="008164D7"/>
    <w:rsid w:val="0081651A"/>
    <w:rsid w:val="008168F3"/>
    <w:rsid w:val="00816A21"/>
    <w:rsid w:val="00816A37"/>
    <w:rsid w:val="00816A40"/>
    <w:rsid w:val="00816D6A"/>
    <w:rsid w:val="00816D7F"/>
    <w:rsid w:val="00816EB2"/>
    <w:rsid w:val="00816F5C"/>
    <w:rsid w:val="008171D6"/>
    <w:rsid w:val="008171FF"/>
    <w:rsid w:val="00817264"/>
    <w:rsid w:val="008172DD"/>
    <w:rsid w:val="0081756E"/>
    <w:rsid w:val="008177B6"/>
    <w:rsid w:val="008179E1"/>
    <w:rsid w:val="00817B48"/>
    <w:rsid w:val="00817CD7"/>
    <w:rsid w:val="00817DDE"/>
    <w:rsid w:val="00817E83"/>
    <w:rsid w:val="0082000E"/>
    <w:rsid w:val="0082017E"/>
    <w:rsid w:val="008201EF"/>
    <w:rsid w:val="00820597"/>
    <w:rsid w:val="008207BD"/>
    <w:rsid w:val="008207BF"/>
    <w:rsid w:val="00820930"/>
    <w:rsid w:val="008209AE"/>
    <w:rsid w:val="00820F20"/>
    <w:rsid w:val="00821013"/>
    <w:rsid w:val="00821253"/>
    <w:rsid w:val="00821403"/>
    <w:rsid w:val="008214D6"/>
    <w:rsid w:val="0082157E"/>
    <w:rsid w:val="00821736"/>
    <w:rsid w:val="00821781"/>
    <w:rsid w:val="008217B0"/>
    <w:rsid w:val="008218B6"/>
    <w:rsid w:val="00821A65"/>
    <w:rsid w:val="00821AEF"/>
    <w:rsid w:val="00821B50"/>
    <w:rsid w:val="00821CD1"/>
    <w:rsid w:val="00821D58"/>
    <w:rsid w:val="00821DAF"/>
    <w:rsid w:val="00821F65"/>
    <w:rsid w:val="00821FEC"/>
    <w:rsid w:val="0082244C"/>
    <w:rsid w:val="0082248D"/>
    <w:rsid w:val="0082256B"/>
    <w:rsid w:val="00822676"/>
    <w:rsid w:val="008227A8"/>
    <w:rsid w:val="008228CD"/>
    <w:rsid w:val="008229D9"/>
    <w:rsid w:val="00823245"/>
    <w:rsid w:val="00823924"/>
    <w:rsid w:val="00823D98"/>
    <w:rsid w:val="0082401F"/>
    <w:rsid w:val="008243DE"/>
    <w:rsid w:val="008246E7"/>
    <w:rsid w:val="0082475B"/>
    <w:rsid w:val="0082483A"/>
    <w:rsid w:val="00824863"/>
    <w:rsid w:val="008248D0"/>
    <w:rsid w:val="00824971"/>
    <w:rsid w:val="00824A75"/>
    <w:rsid w:val="00824AA6"/>
    <w:rsid w:val="00824ADF"/>
    <w:rsid w:val="00824E75"/>
    <w:rsid w:val="008253D5"/>
    <w:rsid w:val="00825607"/>
    <w:rsid w:val="008256E6"/>
    <w:rsid w:val="00825AAE"/>
    <w:rsid w:val="00825B62"/>
    <w:rsid w:val="00825CE1"/>
    <w:rsid w:val="00825D99"/>
    <w:rsid w:val="00826099"/>
    <w:rsid w:val="0082614C"/>
    <w:rsid w:val="0082624E"/>
    <w:rsid w:val="00826BEA"/>
    <w:rsid w:val="00826CAC"/>
    <w:rsid w:val="00826CDD"/>
    <w:rsid w:val="00826E95"/>
    <w:rsid w:val="00826F12"/>
    <w:rsid w:val="00826F61"/>
    <w:rsid w:val="008272E6"/>
    <w:rsid w:val="00827805"/>
    <w:rsid w:val="00827977"/>
    <w:rsid w:val="00827DEC"/>
    <w:rsid w:val="008300AF"/>
    <w:rsid w:val="0083088E"/>
    <w:rsid w:val="008308F1"/>
    <w:rsid w:val="008309CD"/>
    <w:rsid w:val="00830CDA"/>
    <w:rsid w:val="00830E24"/>
    <w:rsid w:val="00830EA1"/>
    <w:rsid w:val="008310D0"/>
    <w:rsid w:val="008311EE"/>
    <w:rsid w:val="00831331"/>
    <w:rsid w:val="008314B9"/>
    <w:rsid w:val="008316A9"/>
    <w:rsid w:val="008317F9"/>
    <w:rsid w:val="00831834"/>
    <w:rsid w:val="008318CE"/>
    <w:rsid w:val="00831B1D"/>
    <w:rsid w:val="00831D98"/>
    <w:rsid w:val="00831F80"/>
    <w:rsid w:val="0083201A"/>
    <w:rsid w:val="0083207E"/>
    <w:rsid w:val="00832242"/>
    <w:rsid w:val="008323DD"/>
    <w:rsid w:val="008323FF"/>
    <w:rsid w:val="00832743"/>
    <w:rsid w:val="0083288B"/>
    <w:rsid w:val="0083293F"/>
    <w:rsid w:val="00832F42"/>
    <w:rsid w:val="00833718"/>
    <w:rsid w:val="00833BA2"/>
    <w:rsid w:val="00833EBC"/>
    <w:rsid w:val="00834348"/>
    <w:rsid w:val="008343A2"/>
    <w:rsid w:val="008344D1"/>
    <w:rsid w:val="00834940"/>
    <w:rsid w:val="008349EB"/>
    <w:rsid w:val="00834A35"/>
    <w:rsid w:val="00834F46"/>
    <w:rsid w:val="00835078"/>
    <w:rsid w:val="008353CC"/>
    <w:rsid w:val="0083556D"/>
    <w:rsid w:val="00835689"/>
    <w:rsid w:val="0083596A"/>
    <w:rsid w:val="00835A0B"/>
    <w:rsid w:val="00835ACD"/>
    <w:rsid w:val="00835CAB"/>
    <w:rsid w:val="00835DB2"/>
    <w:rsid w:val="00835F7B"/>
    <w:rsid w:val="0083603A"/>
    <w:rsid w:val="00836272"/>
    <w:rsid w:val="0083643B"/>
    <w:rsid w:val="008365C2"/>
    <w:rsid w:val="00836991"/>
    <w:rsid w:val="00836C42"/>
    <w:rsid w:val="00836D94"/>
    <w:rsid w:val="00837306"/>
    <w:rsid w:val="008374C2"/>
    <w:rsid w:val="008378EC"/>
    <w:rsid w:val="008379DD"/>
    <w:rsid w:val="00837AC9"/>
    <w:rsid w:val="00837BBE"/>
    <w:rsid w:val="00837BCA"/>
    <w:rsid w:val="00837BE9"/>
    <w:rsid w:val="00837EC6"/>
    <w:rsid w:val="0084029B"/>
    <w:rsid w:val="008402E6"/>
    <w:rsid w:val="008403BC"/>
    <w:rsid w:val="00840495"/>
    <w:rsid w:val="00840694"/>
    <w:rsid w:val="00840C25"/>
    <w:rsid w:val="008410F5"/>
    <w:rsid w:val="00841262"/>
    <w:rsid w:val="00841343"/>
    <w:rsid w:val="00841364"/>
    <w:rsid w:val="008419BB"/>
    <w:rsid w:val="00841B4F"/>
    <w:rsid w:val="00841F12"/>
    <w:rsid w:val="00841FA9"/>
    <w:rsid w:val="00841FED"/>
    <w:rsid w:val="00842399"/>
    <w:rsid w:val="008424F9"/>
    <w:rsid w:val="00842749"/>
    <w:rsid w:val="008427FA"/>
    <w:rsid w:val="00842986"/>
    <w:rsid w:val="00842A09"/>
    <w:rsid w:val="00842C0E"/>
    <w:rsid w:val="00842F85"/>
    <w:rsid w:val="00842FD9"/>
    <w:rsid w:val="008431C6"/>
    <w:rsid w:val="00843223"/>
    <w:rsid w:val="0084349F"/>
    <w:rsid w:val="008435C1"/>
    <w:rsid w:val="00843644"/>
    <w:rsid w:val="008437C8"/>
    <w:rsid w:val="008437F9"/>
    <w:rsid w:val="0084386B"/>
    <w:rsid w:val="0084390A"/>
    <w:rsid w:val="00843A88"/>
    <w:rsid w:val="00843B78"/>
    <w:rsid w:val="00843C15"/>
    <w:rsid w:val="00843CF1"/>
    <w:rsid w:val="00843E1A"/>
    <w:rsid w:val="00843F7F"/>
    <w:rsid w:val="00844342"/>
    <w:rsid w:val="008443DF"/>
    <w:rsid w:val="008444B7"/>
    <w:rsid w:val="00844560"/>
    <w:rsid w:val="00844872"/>
    <w:rsid w:val="00844C69"/>
    <w:rsid w:val="008450CB"/>
    <w:rsid w:val="00845791"/>
    <w:rsid w:val="00845840"/>
    <w:rsid w:val="008458F4"/>
    <w:rsid w:val="0084590F"/>
    <w:rsid w:val="00845999"/>
    <w:rsid w:val="00845B87"/>
    <w:rsid w:val="00845C18"/>
    <w:rsid w:val="00845EB1"/>
    <w:rsid w:val="0084634A"/>
    <w:rsid w:val="008464FA"/>
    <w:rsid w:val="00846549"/>
    <w:rsid w:val="0084691D"/>
    <w:rsid w:val="00846C37"/>
    <w:rsid w:val="00846D02"/>
    <w:rsid w:val="0084712E"/>
    <w:rsid w:val="00847898"/>
    <w:rsid w:val="008479A2"/>
    <w:rsid w:val="008479E0"/>
    <w:rsid w:val="00847F9C"/>
    <w:rsid w:val="008500C3"/>
    <w:rsid w:val="0085043B"/>
    <w:rsid w:val="0085070C"/>
    <w:rsid w:val="0085092E"/>
    <w:rsid w:val="008509E3"/>
    <w:rsid w:val="00850CC5"/>
    <w:rsid w:val="00850E13"/>
    <w:rsid w:val="00850E94"/>
    <w:rsid w:val="00850FD8"/>
    <w:rsid w:val="0085106C"/>
    <w:rsid w:val="0085142D"/>
    <w:rsid w:val="00851808"/>
    <w:rsid w:val="00851BB3"/>
    <w:rsid w:val="00851D5F"/>
    <w:rsid w:val="00851E43"/>
    <w:rsid w:val="00851EF9"/>
    <w:rsid w:val="00851F20"/>
    <w:rsid w:val="008520B4"/>
    <w:rsid w:val="0085274B"/>
    <w:rsid w:val="0085280D"/>
    <w:rsid w:val="0085296E"/>
    <w:rsid w:val="008529C3"/>
    <w:rsid w:val="00852BFD"/>
    <w:rsid w:val="00852C90"/>
    <w:rsid w:val="00852E0A"/>
    <w:rsid w:val="008530FB"/>
    <w:rsid w:val="008531B2"/>
    <w:rsid w:val="00853401"/>
    <w:rsid w:val="00853547"/>
    <w:rsid w:val="00853553"/>
    <w:rsid w:val="008536E4"/>
    <w:rsid w:val="0085370F"/>
    <w:rsid w:val="008538A9"/>
    <w:rsid w:val="008538F6"/>
    <w:rsid w:val="00853AEA"/>
    <w:rsid w:val="00853D19"/>
    <w:rsid w:val="00853E32"/>
    <w:rsid w:val="00853E89"/>
    <w:rsid w:val="00853ECC"/>
    <w:rsid w:val="008542D9"/>
    <w:rsid w:val="00854317"/>
    <w:rsid w:val="00854318"/>
    <w:rsid w:val="00854638"/>
    <w:rsid w:val="00854B5F"/>
    <w:rsid w:val="00854FCB"/>
    <w:rsid w:val="008550A6"/>
    <w:rsid w:val="00855154"/>
    <w:rsid w:val="0085520D"/>
    <w:rsid w:val="0085539B"/>
    <w:rsid w:val="0085547A"/>
    <w:rsid w:val="008558D2"/>
    <w:rsid w:val="00855A9D"/>
    <w:rsid w:val="00855ADC"/>
    <w:rsid w:val="00855BEA"/>
    <w:rsid w:val="00855ECF"/>
    <w:rsid w:val="00855FDB"/>
    <w:rsid w:val="00856235"/>
    <w:rsid w:val="00856415"/>
    <w:rsid w:val="0085671C"/>
    <w:rsid w:val="00856896"/>
    <w:rsid w:val="0085696D"/>
    <w:rsid w:val="00856A6B"/>
    <w:rsid w:val="00856C32"/>
    <w:rsid w:val="00856C4F"/>
    <w:rsid w:val="00856DBB"/>
    <w:rsid w:val="00856DC8"/>
    <w:rsid w:val="0085709A"/>
    <w:rsid w:val="0085715D"/>
    <w:rsid w:val="00857454"/>
    <w:rsid w:val="00857677"/>
    <w:rsid w:val="008576E4"/>
    <w:rsid w:val="00857762"/>
    <w:rsid w:val="0085776F"/>
    <w:rsid w:val="00857896"/>
    <w:rsid w:val="00857925"/>
    <w:rsid w:val="00857B32"/>
    <w:rsid w:val="00857CE2"/>
    <w:rsid w:val="00857FFA"/>
    <w:rsid w:val="00860028"/>
    <w:rsid w:val="0086003E"/>
    <w:rsid w:val="008600F8"/>
    <w:rsid w:val="00860240"/>
    <w:rsid w:val="00860302"/>
    <w:rsid w:val="0086049E"/>
    <w:rsid w:val="008606AA"/>
    <w:rsid w:val="008607F3"/>
    <w:rsid w:val="00860A03"/>
    <w:rsid w:val="00860A05"/>
    <w:rsid w:val="00860ABA"/>
    <w:rsid w:val="00860BC8"/>
    <w:rsid w:val="00860C03"/>
    <w:rsid w:val="00860C0C"/>
    <w:rsid w:val="008610A5"/>
    <w:rsid w:val="008611D8"/>
    <w:rsid w:val="00861435"/>
    <w:rsid w:val="00861593"/>
    <w:rsid w:val="008617A9"/>
    <w:rsid w:val="008618E8"/>
    <w:rsid w:val="00861A1C"/>
    <w:rsid w:val="00861BC4"/>
    <w:rsid w:val="00861E55"/>
    <w:rsid w:val="0086208C"/>
    <w:rsid w:val="00862105"/>
    <w:rsid w:val="00862265"/>
    <w:rsid w:val="008624FB"/>
    <w:rsid w:val="00862616"/>
    <w:rsid w:val="008626AC"/>
    <w:rsid w:val="00862712"/>
    <w:rsid w:val="0086283C"/>
    <w:rsid w:val="008628D2"/>
    <w:rsid w:val="008629A2"/>
    <w:rsid w:val="00862A99"/>
    <w:rsid w:val="00862B79"/>
    <w:rsid w:val="00862F4A"/>
    <w:rsid w:val="00862F7C"/>
    <w:rsid w:val="0086307B"/>
    <w:rsid w:val="00863179"/>
    <w:rsid w:val="00863253"/>
    <w:rsid w:val="0086329E"/>
    <w:rsid w:val="00863416"/>
    <w:rsid w:val="008637BB"/>
    <w:rsid w:val="008638DC"/>
    <w:rsid w:val="00863F91"/>
    <w:rsid w:val="00863FBD"/>
    <w:rsid w:val="00864500"/>
    <w:rsid w:val="008645CE"/>
    <w:rsid w:val="00864621"/>
    <w:rsid w:val="008647FA"/>
    <w:rsid w:val="00864905"/>
    <w:rsid w:val="00864DA1"/>
    <w:rsid w:val="00864DD5"/>
    <w:rsid w:val="00864FF1"/>
    <w:rsid w:val="0086516B"/>
    <w:rsid w:val="008652D3"/>
    <w:rsid w:val="00865392"/>
    <w:rsid w:val="0086551D"/>
    <w:rsid w:val="00865693"/>
    <w:rsid w:val="00865D51"/>
    <w:rsid w:val="00865E5D"/>
    <w:rsid w:val="0086600D"/>
    <w:rsid w:val="0086616A"/>
    <w:rsid w:val="008661C4"/>
    <w:rsid w:val="008662C1"/>
    <w:rsid w:val="0086666D"/>
    <w:rsid w:val="00866992"/>
    <w:rsid w:val="00866A41"/>
    <w:rsid w:val="00866B94"/>
    <w:rsid w:val="00866BE0"/>
    <w:rsid w:val="00866C82"/>
    <w:rsid w:val="00866E30"/>
    <w:rsid w:val="00866F57"/>
    <w:rsid w:val="00866F70"/>
    <w:rsid w:val="008670D6"/>
    <w:rsid w:val="008672EB"/>
    <w:rsid w:val="00867343"/>
    <w:rsid w:val="00867353"/>
    <w:rsid w:val="00867501"/>
    <w:rsid w:val="0086772F"/>
    <w:rsid w:val="00867A53"/>
    <w:rsid w:val="00867A6A"/>
    <w:rsid w:val="00867ACA"/>
    <w:rsid w:val="00867DBC"/>
    <w:rsid w:val="00867DC7"/>
    <w:rsid w:val="00867F66"/>
    <w:rsid w:val="00870170"/>
    <w:rsid w:val="00870259"/>
    <w:rsid w:val="00870449"/>
    <w:rsid w:val="00870948"/>
    <w:rsid w:val="00870962"/>
    <w:rsid w:val="00870DCA"/>
    <w:rsid w:val="00870F7A"/>
    <w:rsid w:val="008710C4"/>
    <w:rsid w:val="008711E8"/>
    <w:rsid w:val="008712D8"/>
    <w:rsid w:val="00871405"/>
    <w:rsid w:val="0087140B"/>
    <w:rsid w:val="008718BE"/>
    <w:rsid w:val="00871943"/>
    <w:rsid w:val="00871A17"/>
    <w:rsid w:val="00871F6A"/>
    <w:rsid w:val="00872188"/>
    <w:rsid w:val="00872223"/>
    <w:rsid w:val="00872236"/>
    <w:rsid w:val="00872461"/>
    <w:rsid w:val="0087264F"/>
    <w:rsid w:val="00872772"/>
    <w:rsid w:val="008728EA"/>
    <w:rsid w:val="00872A33"/>
    <w:rsid w:val="00872A96"/>
    <w:rsid w:val="00872B8A"/>
    <w:rsid w:val="00872FD3"/>
    <w:rsid w:val="00873055"/>
    <w:rsid w:val="008730C1"/>
    <w:rsid w:val="008731E7"/>
    <w:rsid w:val="0087369B"/>
    <w:rsid w:val="00873983"/>
    <w:rsid w:val="00873E74"/>
    <w:rsid w:val="00874183"/>
    <w:rsid w:val="008743B1"/>
    <w:rsid w:val="008744AE"/>
    <w:rsid w:val="008745B7"/>
    <w:rsid w:val="008746C3"/>
    <w:rsid w:val="00874932"/>
    <w:rsid w:val="008749C9"/>
    <w:rsid w:val="00874A22"/>
    <w:rsid w:val="00874A8F"/>
    <w:rsid w:val="00874D76"/>
    <w:rsid w:val="00874DE8"/>
    <w:rsid w:val="00875059"/>
    <w:rsid w:val="00875299"/>
    <w:rsid w:val="0087536A"/>
    <w:rsid w:val="00875384"/>
    <w:rsid w:val="008753E1"/>
    <w:rsid w:val="00875521"/>
    <w:rsid w:val="008757E1"/>
    <w:rsid w:val="008758EC"/>
    <w:rsid w:val="00875AAD"/>
    <w:rsid w:val="00875B1A"/>
    <w:rsid w:val="00875BE9"/>
    <w:rsid w:val="00875DF7"/>
    <w:rsid w:val="00875FC6"/>
    <w:rsid w:val="00876273"/>
    <w:rsid w:val="00876303"/>
    <w:rsid w:val="00876369"/>
    <w:rsid w:val="00876447"/>
    <w:rsid w:val="00876550"/>
    <w:rsid w:val="008765B5"/>
    <w:rsid w:val="0087691E"/>
    <w:rsid w:val="008769E5"/>
    <w:rsid w:val="00877552"/>
    <w:rsid w:val="00877570"/>
    <w:rsid w:val="0087785F"/>
    <w:rsid w:val="00877C67"/>
    <w:rsid w:val="00877D5D"/>
    <w:rsid w:val="00877EE8"/>
    <w:rsid w:val="008802AA"/>
    <w:rsid w:val="008804BF"/>
    <w:rsid w:val="0088051E"/>
    <w:rsid w:val="00880709"/>
    <w:rsid w:val="0088073E"/>
    <w:rsid w:val="008809AA"/>
    <w:rsid w:val="00880BE0"/>
    <w:rsid w:val="00880EC5"/>
    <w:rsid w:val="00880FFD"/>
    <w:rsid w:val="0088148F"/>
    <w:rsid w:val="00881580"/>
    <w:rsid w:val="0088179F"/>
    <w:rsid w:val="008819A4"/>
    <w:rsid w:val="00881CA2"/>
    <w:rsid w:val="00881FAC"/>
    <w:rsid w:val="008821DE"/>
    <w:rsid w:val="0088220D"/>
    <w:rsid w:val="00882233"/>
    <w:rsid w:val="008824A7"/>
    <w:rsid w:val="008828A9"/>
    <w:rsid w:val="008828FE"/>
    <w:rsid w:val="00882BAC"/>
    <w:rsid w:val="00882C8B"/>
    <w:rsid w:val="00882D6C"/>
    <w:rsid w:val="00882FB6"/>
    <w:rsid w:val="00883138"/>
    <w:rsid w:val="00883188"/>
    <w:rsid w:val="0088318F"/>
    <w:rsid w:val="008833BC"/>
    <w:rsid w:val="008834B5"/>
    <w:rsid w:val="0088381C"/>
    <w:rsid w:val="008838AF"/>
    <w:rsid w:val="008838FB"/>
    <w:rsid w:val="00883A65"/>
    <w:rsid w:val="00883AD3"/>
    <w:rsid w:val="00883B60"/>
    <w:rsid w:val="00883C63"/>
    <w:rsid w:val="00883DA0"/>
    <w:rsid w:val="00883E8D"/>
    <w:rsid w:val="00884437"/>
    <w:rsid w:val="008844BD"/>
    <w:rsid w:val="008845C1"/>
    <w:rsid w:val="008846E3"/>
    <w:rsid w:val="008847BF"/>
    <w:rsid w:val="00884816"/>
    <w:rsid w:val="008848A7"/>
    <w:rsid w:val="008848F1"/>
    <w:rsid w:val="0088491F"/>
    <w:rsid w:val="00884D92"/>
    <w:rsid w:val="00884F85"/>
    <w:rsid w:val="008850AB"/>
    <w:rsid w:val="00885470"/>
    <w:rsid w:val="00885ADA"/>
    <w:rsid w:val="00885C06"/>
    <w:rsid w:val="00885DCF"/>
    <w:rsid w:val="0088606D"/>
    <w:rsid w:val="00886077"/>
    <w:rsid w:val="00886261"/>
    <w:rsid w:val="00886297"/>
    <w:rsid w:val="0088652C"/>
    <w:rsid w:val="008865B3"/>
    <w:rsid w:val="0088662B"/>
    <w:rsid w:val="00886933"/>
    <w:rsid w:val="008869F4"/>
    <w:rsid w:val="00886B0A"/>
    <w:rsid w:val="00886E5F"/>
    <w:rsid w:val="00886FFB"/>
    <w:rsid w:val="00887311"/>
    <w:rsid w:val="0088746B"/>
    <w:rsid w:val="00887474"/>
    <w:rsid w:val="008875E7"/>
    <w:rsid w:val="00887BDF"/>
    <w:rsid w:val="00887C26"/>
    <w:rsid w:val="00887C47"/>
    <w:rsid w:val="008900EC"/>
    <w:rsid w:val="00890400"/>
    <w:rsid w:val="008905AD"/>
    <w:rsid w:val="00890635"/>
    <w:rsid w:val="008908B0"/>
    <w:rsid w:val="00890F70"/>
    <w:rsid w:val="008912AB"/>
    <w:rsid w:val="0089171D"/>
    <w:rsid w:val="00891730"/>
    <w:rsid w:val="00891A54"/>
    <w:rsid w:val="00891BCD"/>
    <w:rsid w:val="00891F78"/>
    <w:rsid w:val="0089202A"/>
    <w:rsid w:val="00892194"/>
    <w:rsid w:val="00892363"/>
    <w:rsid w:val="00892436"/>
    <w:rsid w:val="008925A3"/>
    <w:rsid w:val="00892651"/>
    <w:rsid w:val="00892AB1"/>
    <w:rsid w:val="00892B50"/>
    <w:rsid w:val="00892CB6"/>
    <w:rsid w:val="00892E3E"/>
    <w:rsid w:val="008931E6"/>
    <w:rsid w:val="008932BF"/>
    <w:rsid w:val="00893489"/>
    <w:rsid w:val="008936BB"/>
    <w:rsid w:val="008938AA"/>
    <w:rsid w:val="00893A7E"/>
    <w:rsid w:val="00893E8B"/>
    <w:rsid w:val="00894321"/>
    <w:rsid w:val="00894628"/>
    <w:rsid w:val="0089491D"/>
    <w:rsid w:val="00894E51"/>
    <w:rsid w:val="00894E6E"/>
    <w:rsid w:val="00894EF6"/>
    <w:rsid w:val="00894F22"/>
    <w:rsid w:val="00894F6B"/>
    <w:rsid w:val="00894F90"/>
    <w:rsid w:val="00895629"/>
    <w:rsid w:val="0089574E"/>
    <w:rsid w:val="0089587E"/>
    <w:rsid w:val="00895965"/>
    <w:rsid w:val="0089599B"/>
    <w:rsid w:val="00895BFC"/>
    <w:rsid w:val="00895D5D"/>
    <w:rsid w:val="00895DE8"/>
    <w:rsid w:val="00896030"/>
    <w:rsid w:val="0089631F"/>
    <w:rsid w:val="008965B2"/>
    <w:rsid w:val="00896616"/>
    <w:rsid w:val="00896936"/>
    <w:rsid w:val="00897015"/>
    <w:rsid w:val="008972D9"/>
    <w:rsid w:val="00897351"/>
    <w:rsid w:val="00897447"/>
    <w:rsid w:val="00897493"/>
    <w:rsid w:val="00897509"/>
    <w:rsid w:val="00897BD1"/>
    <w:rsid w:val="008A00B8"/>
    <w:rsid w:val="008A0172"/>
    <w:rsid w:val="008A022A"/>
    <w:rsid w:val="008A024E"/>
    <w:rsid w:val="008A0306"/>
    <w:rsid w:val="008A0461"/>
    <w:rsid w:val="008A0641"/>
    <w:rsid w:val="008A08F1"/>
    <w:rsid w:val="008A0931"/>
    <w:rsid w:val="008A1093"/>
    <w:rsid w:val="008A1113"/>
    <w:rsid w:val="008A11F5"/>
    <w:rsid w:val="008A149D"/>
    <w:rsid w:val="008A1577"/>
    <w:rsid w:val="008A15E1"/>
    <w:rsid w:val="008A1AED"/>
    <w:rsid w:val="008A1B74"/>
    <w:rsid w:val="008A1C23"/>
    <w:rsid w:val="008A1C37"/>
    <w:rsid w:val="008A1CE4"/>
    <w:rsid w:val="008A1D09"/>
    <w:rsid w:val="008A1DD2"/>
    <w:rsid w:val="008A1EB5"/>
    <w:rsid w:val="008A1F31"/>
    <w:rsid w:val="008A22B9"/>
    <w:rsid w:val="008A2327"/>
    <w:rsid w:val="008A2352"/>
    <w:rsid w:val="008A2423"/>
    <w:rsid w:val="008A2446"/>
    <w:rsid w:val="008A24C1"/>
    <w:rsid w:val="008A257E"/>
    <w:rsid w:val="008A25C0"/>
    <w:rsid w:val="008A2E7A"/>
    <w:rsid w:val="008A2F32"/>
    <w:rsid w:val="008A300E"/>
    <w:rsid w:val="008A3190"/>
    <w:rsid w:val="008A31FE"/>
    <w:rsid w:val="008A352B"/>
    <w:rsid w:val="008A35FF"/>
    <w:rsid w:val="008A366C"/>
    <w:rsid w:val="008A36FE"/>
    <w:rsid w:val="008A37D4"/>
    <w:rsid w:val="008A38BB"/>
    <w:rsid w:val="008A39F8"/>
    <w:rsid w:val="008A3BA4"/>
    <w:rsid w:val="008A3C61"/>
    <w:rsid w:val="008A409B"/>
    <w:rsid w:val="008A40C0"/>
    <w:rsid w:val="008A40D1"/>
    <w:rsid w:val="008A42DB"/>
    <w:rsid w:val="008A42E0"/>
    <w:rsid w:val="008A4388"/>
    <w:rsid w:val="008A43CB"/>
    <w:rsid w:val="008A45EC"/>
    <w:rsid w:val="008A47B6"/>
    <w:rsid w:val="008A4ACE"/>
    <w:rsid w:val="008A4ADD"/>
    <w:rsid w:val="008A4B23"/>
    <w:rsid w:val="008A4B64"/>
    <w:rsid w:val="008A4C32"/>
    <w:rsid w:val="008A4EB1"/>
    <w:rsid w:val="008A512B"/>
    <w:rsid w:val="008A5172"/>
    <w:rsid w:val="008A51A5"/>
    <w:rsid w:val="008A5D7C"/>
    <w:rsid w:val="008A5E42"/>
    <w:rsid w:val="008A606B"/>
    <w:rsid w:val="008A6087"/>
    <w:rsid w:val="008A618A"/>
    <w:rsid w:val="008A63F3"/>
    <w:rsid w:val="008A6B0F"/>
    <w:rsid w:val="008A6E84"/>
    <w:rsid w:val="008A6EF5"/>
    <w:rsid w:val="008A7389"/>
    <w:rsid w:val="008A7508"/>
    <w:rsid w:val="008A7558"/>
    <w:rsid w:val="008A7772"/>
    <w:rsid w:val="008A77B5"/>
    <w:rsid w:val="008A787D"/>
    <w:rsid w:val="008A7A62"/>
    <w:rsid w:val="008A7A79"/>
    <w:rsid w:val="008A7B92"/>
    <w:rsid w:val="008A7C39"/>
    <w:rsid w:val="008A7D81"/>
    <w:rsid w:val="008A7E41"/>
    <w:rsid w:val="008B006C"/>
    <w:rsid w:val="008B0374"/>
    <w:rsid w:val="008B04B4"/>
    <w:rsid w:val="008B06CF"/>
    <w:rsid w:val="008B080D"/>
    <w:rsid w:val="008B09D8"/>
    <w:rsid w:val="008B0A40"/>
    <w:rsid w:val="008B0BE3"/>
    <w:rsid w:val="008B0D39"/>
    <w:rsid w:val="008B0F5A"/>
    <w:rsid w:val="008B14C4"/>
    <w:rsid w:val="008B1528"/>
    <w:rsid w:val="008B160E"/>
    <w:rsid w:val="008B1665"/>
    <w:rsid w:val="008B1956"/>
    <w:rsid w:val="008B1B66"/>
    <w:rsid w:val="008B21B0"/>
    <w:rsid w:val="008B243E"/>
    <w:rsid w:val="008B2566"/>
    <w:rsid w:val="008B260E"/>
    <w:rsid w:val="008B26CE"/>
    <w:rsid w:val="008B2827"/>
    <w:rsid w:val="008B2946"/>
    <w:rsid w:val="008B2AB3"/>
    <w:rsid w:val="008B2EE2"/>
    <w:rsid w:val="008B31EF"/>
    <w:rsid w:val="008B32D7"/>
    <w:rsid w:val="008B355D"/>
    <w:rsid w:val="008B3610"/>
    <w:rsid w:val="008B37BA"/>
    <w:rsid w:val="008B394C"/>
    <w:rsid w:val="008B3B0C"/>
    <w:rsid w:val="008B3F9A"/>
    <w:rsid w:val="008B3FB8"/>
    <w:rsid w:val="008B402D"/>
    <w:rsid w:val="008B40B1"/>
    <w:rsid w:val="008B4402"/>
    <w:rsid w:val="008B4599"/>
    <w:rsid w:val="008B4606"/>
    <w:rsid w:val="008B46E7"/>
    <w:rsid w:val="008B47DF"/>
    <w:rsid w:val="008B4834"/>
    <w:rsid w:val="008B4AFB"/>
    <w:rsid w:val="008B4BF0"/>
    <w:rsid w:val="008B4E41"/>
    <w:rsid w:val="008B528D"/>
    <w:rsid w:val="008B53E4"/>
    <w:rsid w:val="008B55CC"/>
    <w:rsid w:val="008B5619"/>
    <w:rsid w:val="008B5BDC"/>
    <w:rsid w:val="008B5BF8"/>
    <w:rsid w:val="008B5F01"/>
    <w:rsid w:val="008B6137"/>
    <w:rsid w:val="008B61AE"/>
    <w:rsid w:val="008B6308"/>
    <w:rsid w:val="008B6453"/>
    <w:rsid w:val="008B64AE"/>
    <w:rsid w:val="008B6567"/>
    <w:rsid w:val="008B65B4"/>
    <w:rsid w:val="008B6A41"/>
    <w:rsid w:val="008B6E6F"/>
    <w:rsid w:val="008B6EDD"/>
    <w:rsid w:val="008B7086"/>
    <w:rsid w:val="008B737C"/>
    <w:rsid w:val="008B73D4"/>
    <w:rsid w:val="008B7937"/>
    <w:rsid w:val="008B7978"/>
    <w:rsid w:val="008B79C2"/>
    <w:rsid w:val="008B7BCF"/>
    <w:rsid w:val="008B7C15"/>
    <w:rsid w:val="008B7C88"/>
    <w:rsid w:val="008C007F"/>
    <w:rsid w:val="008C011A"/>
    <w:rsid w:val="008C01C1"/>
    <w:rsid w:val="008C01E3"/>
    <w:rsid w:val="008C0357"/>
    <w:rsid w:val="008C0404"/>
    <w:rsid w:val="008C0409"/>
    <w:rsid w:val="008C05E6"/>
    <w:rsid w:val="008C0699"/>
    <w:rsid w:val="008C06FC"/>
    <w:rsid w:val="008C08EC"/>
    <w:rsid w:val="008C09A2"/>
    <w:rsid w:val="008C09D7"/>
    <w:rsid w:val="008C0AC6"/>
    <w:rsid w:val="008C0C63"/>
    <w:rsid w:val="008C0EEC"/>
    <w:rsid w:val="008C0F12"/>
    <w:rsid w:val="008C1144"/>
    <w:rsid w:val="008C13AD"/>
    <w:rsid w:val="008C155A"/>
    <w:rsid w:val="008C1955"/>
    <w:rsid w:val="008C1B18"/>
    <w:rsid w:val="008C2025"/>
    <w:rsid w:val="008C21EA"/>
    <w:rsid w:val="008C21EB"/>
    <w:rsid w:val="008C226B"/>
    <w:rsid w:val="008C235A"/>
    <w:rsid w:val="008C23AE"/>
    <w:rsid w:val="008C2545"/>
    <w:rsid w:val="008C2579"/>
    <w:rsid w:val="008C25F9"/>
    <w:rsid w:val="008C261D"/>
    <w:rsid w:val="008C28D4"/>
    <w:rsid w:val="008C292A"/>
    <w:rsid w:val="008C2AAE"/>
    <w:rsid w:val="008C2B14"/>
    <w:rsid w:val="008C2C1F"/>
    <w:rsid w:val="008C2CF5"/>
    <w:rsid w:val="008C2E55"/>
    <w:rsid w:val="008C2F2F"/>
    <w:rsid w:val="008C2FD0"/>
    <w:rsid w:val="008C302D"/>
    <w:rsid w:val="008C302F"/>
    <w:rsid w:val="008C3053"/>
    <w:rsid w:val="008C307C"/>
    <w:rsid w:val="008C30C3"/>
    <w:rsid w:val="008C3164"/>
    <w:rsid w:val="008C3336"/>
    <w:rsid w:val="008C344B"/>
    <w:rsid w:val="008C34A8"/>
    <w:rsid w:val="008C38F2"/>
    <w:rsid w:val="008C3C38"/>
    <w:rsid w:val="008C3CA9"/>
    <w:rsid w:val="008C3DFB"/>
    <w:rsid w:val="008C3E09"/>
    <w:rsid w:val="008C3E63"/>
    <w:rsid w:val="008C4073"/>
    <w:rsid w:val="008C40FF"/>
    <w:rsid w:val="008C4425"/>
    <w:rsid w:val="008C4468"/>
    <w:rsid w:val="008C480A"/>
    <w:rsid w:val="008C4902"/>
    <w:rsid w:val="008C49E5"/>
    <w:rsid w:val="008C4A00"/>
    <w:rsid w:val="008C4B13"/>
    <w:rsid w:val="008C4DBA"/>
    <w:rsid w:val="008C500A"/>
    <w:rsid w:val="008C5294"/>
    <w:rsid w:val="008C547F"/>
    <w:rsid w:val="008C5589"/>
    <w:rsid w:val="008C56B9"/>
    <w:rsid w:val="008C578B"/>
    <w:rsid w:val="008C57E4"/>
    <w:rsid w:val="008C5886"/>
    <w:rsid w:val="008C5904"/>
    <w:rsid w:val="008C60F3"/>
    <w:rsid w:val="008C6118"/>
    <w:rsid w:val="008C616F"/>
    <w:rsid w:val="008C6329"/>
    <w:rsid w:val="008C63D3"/>
    <w:rsid w:val="008C68D5"/>
    <w:rsid w:val="008C70CF"/>
    <w:rsid w:val="008C73FB"/>
    <w:rsid w:val="008C7487"/>
    <w:rsid w:val="008C7639"/>
    <w:rsid w:val="008C774D"/>
    <w:rsid w:val="008C79ED"/>
    <w:rsid w:val="008C7D44"/>
    <w:rsid w:val="008C7FB1"/>
    <w:rsid w:val="008D0015"/>
    <w:rsid w:val="008D002C"/>
    <w:rsid w:val="008D009A"/>
    <w:rsid w:val="008D0396"/>
    <w:rsid w:val="008D0568"/>
    <w:rsid w:val="008D06E3"/>
    <w:rsid w:val="008D0BFE"/>
    <w:rsid w:val="008D0D3C"/>
    <w:rsid w:val="008D0D86"/>
    <w:rsid w:val="008D0DF2"/>
    <w:rsid w:val="008D0E20"/>
    <w:rsid w:val="008D1095"/>
    <w:rsid w:val="008D10B7"/>
    <w:rsid w:val="008D1360"/>
    <w:rsid w:val="008D1394"/>
    <w:rsid w:val="008D14B2"/>
    <w:rsid w:val="008D1C9F"/>
    <w:rsid w:val="008D1D53"/>
    <w:rsid w:val="008D1E72"/>
    <w:rsid w:val="008D1EB4"/>
    <w:rsid w:val="008D1EF6"/>
    <w:rsid w:val="008D1F0D"/>
    <w:rsid w:val="008D1FC3"/>
    <w:rsid w:val="008D2424"/>
    <w:rsid w:val="008D2501"/>
    <w:rsid w:val="008D27BF"/>
    <w:rsid w:val="008D290B"/>
    <w:rsid w:val="008D29AF"/>
    <w:rsid w:val="008D2A48"/>
    <w:rsid w:val="008D2A85"/>
    <w:rsid w:val="008D2AD2"/>
    <w:rsid w:val="008D2C23"/>
    <w:rsid w:val="008D2C76"/>
    <w:rsid w:val="008D2DFB"/>
    <w:rsid w:val="008D2E5F"/>
    <w:rsid w:val="008D323A"/>
    <w:rsid w:val="008D34AE"/>
    <w:rsid w:val="008D34FA"/>
    <w:rsid w:val="008D3596"/>
    <w:rsid w:val="008D3738"/>
    <w:rsid w:val="008D4291"/>
    <w:rsid w:val="008D4331"/>
    <w:rsid w:val="008D44A7"/>
    <w:rsid w:val="008D47C3"/>
    <w:rsid w:val="008D48B8"/>
    <w:rsid w:val="008D4C91"/>
    <w:rsid w:val="008D4DF1"/>
    <w:rsid w:val="008D514A"/>
    <w:rsid w:val="008D5435"/>
    <w:rsid w:val="008D5567"/>
    <w:rsid w:val="008D5772"/>
    <w:rsid w:val="008D57F5"/>
    <w:rsid w:val="008D58BD"/>
    <w:rsid w:val="008D58DF"/>
    <w:rsid w:val="008D58E8"/>
    <w:rsid w:val="008D5947"/>
    <w:rsid w:val="008D6027"/>
    <w:rsid w:val="008D6114"/>
    <w:rsid w:val="008D616C"/>
    <w:rsid w:val="008D6191"/>
    <w:rsid w:val="008D61EB"/>
    <w:rsid w:val="008D62B8"/>
    <w:rsid w:val="008D636F"/>
    <w:rsid w:val="008D67DC"/>
    <w:rsid w:val="008D7112"/>
    <w:rsid w:val="008D7575"/>
    <w:rsid w:val="008D771D"/>
    <w:rsid w:val="008D772F"/>
    <w:rsid w:val="008D7785"/>
    <w:rsid w:val="008D7829"/>
    <w:rsid w:val="008D7BD5"/>
    <w:rsid w:val="008D7C7E"/>
    <w:rsid w:val="008D7E42"/>
    <w:rsid w:val="008D7F24"/>
    <w:rsid w:val="008D7F82"/>
    <w:rsid w:val="008E02D7"/>
    <w:rsid w:val="008E03C9"/>
    <w:rsid w:val="008E042A"/>
    <w:rsid w:val="008E0448"/>
    <w:rsid w:val="008E0479"/>
    <w:rsid w:val="008E0746"/>
    <w:rsid w:val="008E079D"/>
    <w:rsid w:val="008E08A0"/>
    <w:rsid w:val="008E0972"/>
    <w:rsid w:val="008E0ABC"/>
    <w:rsid w:val="008E0BA4"/>
    <w:rsid w:val="008E0BAD"/>
    <w:rsid w:val="008E0C04"/>
    <w:rsid w:val="008E0DA1"/>
    <w:rsid w:val="008E0FF7"/>
    <w:rsid w:val="008E104C"/>
    <w:rsid w:val="008E131A"/>
    <w:rsid w:val="008E139D"/>
    <w:rsid w:val="008E1449"/>
    <w:rsid w:val="008E1481"/>
    <w:rsid w:val="008E1CA8"/>
    <w:rsid w:val="008E1D1B"/>
    <w:rsid w:val="008E1E0A"/>
    <w:rsid w:val="008E204D"/>
    <w:rsid w:val="008E2145"/>
    <w:rsid w:val="008E22DE"/>
    <w:rsid w:val="008E23C1"/>
    <w:rsid w:val="008E2406"/>
    <w:rsid w:val="008E2626"/>
    <w:rsid w:val="008E2941"/>
    <w:rsid w:val="008E295F"/>
    <w:rsid w:val="008E2CB5"/>
    <w:rsid w:val="008E2DC9"/>
    <w:rsid w:val="008E2F47"/>
    <w:rsid w:val="008E3052"/>
    <w:rsid w:val="008E3109"/>
    <w:rsid w:val="008E31E0"/>
    <w:rsid w:val="008E34B9"/>
    <w:rsid w:val="008E375A"/>
    <w:rsid w:val="008E3780"/>
    <w:rsid w:val="008E3856"/>
    <w:rsid w:val="008E3DC2"/>
    <w:rsid w:val="008E3E00"/>
    <w:rsid w:val="008E3EB1"/>
    <w:rsid w:val="008E45AB"/>
    <w:rsid w:val="008E48F2"/>
    <w:rsid w:val="008E4A28"/>
    <w:rsid w:val="008E4BB7"/>
    <w:rsid w:val="008E4D22"/>
    <w:rsid w:val="008E4F38"/>
    <w:rsid w:val="008E4FE5"/>
    <w:rsid w:val="008E5139"/>
    <w:rsid w:val="008E5239"/>
    <w:rsid w:val="008E52E0"/>
    <w:rsid w:val="008E5392"/>
    <w:rsid w:val="008E5836"/>
    <w:rsid w:val="008E5898"/>
    <w:rsid w:val="008E5907"/>
    <w:rsid w:val="008E597C"/>
    <w:rsid w:val="008E59AA"/>
    <w:rsid w:val="008E5B38"/>
    <w:rsid w:val="008E5B6B"/>
    <w:rsid w:val="008E5CDA"/>
    <w:rsid w:val="008E5F5A"/>
    <w:rsid w:val="008E6515"/>
    <w:rsid w:val="008E6527"/>
    <w:rsid w:val="008E6937"/>
    <w:rsid w:val="008E6A7F"/>
    <w:rsid w:val="008E77F4"/>
    <w:rsid w:val="008E790C"/>
    <w:rsid w:val="008E7923"/>
    <w:rsid w:val="008E7961"/>
    <w:rsid w:val="008E79C9"/>
    <w:rsid w:val="008E7BF6"/>
    <w:rsid w:val="008E7C85"/>
    <w:rsid w:val="008E7CB4"/>
    <w:rsid w:val="008E7DDD"/>
    <w:rsid w:val="008F00E8"/>
    <w:rsid w:val="008F02BD"/>
    <w:rsid w:val="008F030C"/>
    <w:rsid w:val="008F04AD"/>
    <w:rsid w:val="008F0755"/>
    <w:rsid w:val="008F0A8B"/>
    <w:rsid w:val="008F0D48"/>
    <w:rsid w:val="008F0E14"/>
    <w:rsid w:val="008F10F2"/>
    <w:rsid w:val="008F11D5"/>
    <w:rsid w:val="008F1492"/>
    <w:rsid w:val="008F17E3"/>
    <w:rsid w:val="008F190E"/>
    <w:rsid w:val="008F197E"/>
    <w:rsid w:val="008F1D95"/>
    <w:rsid w:val="008F1F0B"/>
    <w:rsid w:val="008F2742"/>
    <w:rsid w:val="008F2818"/>
    <w:rsid w:val="008F3147"/>
    <w:rsid w:val="008F347F"/>
    <w:rsid w:val="008F3649"/>
    <w:rsid w:val="008F37F7"/>
    <w:rsid w:val="008F3940"/>
    <w:rsid w:val="008F39E7"/>
    <w:rsid w:val="008F3AA1"/>
    <w:rsid w:val="008F3CF8"/>
    <w:rsid w:val="008F3DD3"/>
    <w:rsid w:val="008F3FCB"/>
    <w:rsid w:val="008F407F"/>
    <w:rsid w:val="008F4210"/>
    <w:rsid w:val="008F4398"/>
    <w:rsid w:val="008F44CD"/>
    <w:rsid w:val="008F4573"/>
    <w:rsid w:val="008F457C"/>
    <w:rsid w:val="008F4DF0"/>
    <w:rsid w:val="008F4E74"/>
    <w:rsid w:val="008F5056"/>
    <w:rsid w:val="008F51F9"/>
    <w:rsid w:val="008F5409"/>
    <w:rsid w:val="008F5756"/>
    <w:rsid w:val="008F58DE"/>
    <w:rsid w:val="008F5BC0"/>
    <w:rsid w:val="008F5BE4"/>
    <w:rsid w:val="008F5D3D"/>
    <w:rsid w:val="008F5DD2"/>
    <w:rsid w:val="008F5EEC"/>
    <w:rsid w:val="008F6536"/>
    <w:rsid w:val="008F65F9"/>
    <w:rsid w:val="008F6791"/>
    <w:rsid w:val="008F6797"/>
    <w:rsid w:val="008F67A2"/>
    <w:rsid w:val="008F6A1F"/>
    <w:rsid w:val="008F6A54"/>
    <w:rsid w:val="008F6B33"/>
    <w:rsid w:val="008F6B9F"/>
    <w:rsid w:val="008F6DFC"/>
    <w:rsid w:val="008F6F2B"/>
    <w:rsid w:val="008F70A5"/>
    <w:rsid w:val="008F719A"/>
    <w:rsid w:val="008F73C5"/>
    <w:rsid w:val="008F76B6"/>
    <w:rsid w:val="008F793E"/>
    <w:rsid w:val="008F7940"/>
    <w:rsid w:val="008F7B33"/>
    <w:rsid w:val="008F7D11"/>
    <w:rsid w:val="008F7E4B"/>
    <w:rsid w:val="008F7ED1"/>
    <w:rsid w:val="008F7F01"/>
    <w:rsid w:val="0090004C"/>
    <w:rsid w:val="00900518"/>
    <w:rsid w:val="0090072D"/>
    <w:rsid w:val="00900B3A"/>
    <w:rsid w:val="00900C85"/>
    <w:rsid w:val="00900EE9"/>
    <w:rsid w:val="009011E7"/>
    <w:rsid w:val="009012AD"/>
    <w:rsid w:val="00901554"/>
    <w:rsid w:val="009018D3"/>
    <w:rsid w:val="0090198D"/>
    <w:rsid w:val="009019A9"/>
    <w:rsid w:val="00901A9E"/>
    <w:rsid w:val="00901E3E"/>
    <w:rsid w:val="0090207F"/>
    <w:rsid w:val="0090220C"/>
    <w:rsid w:val="0090231F"/>
    <w:rsid w:val="00902451"/>
    <w:rsid w:val="009025F1"/>
    <w:rsid w:val="0090261C"/>
    <w:rsid w:val="00902739"/>
    <w:rsid w:val="00902850"/>
    <w:rsid w:val="0090289E"/>
    <w:rsid w:val="00902A93"/>
    <w:rsid w:val="00902AC2"/>
    <w:rsid w:val="00902ADB"/>
    <w:rsid w:val="00902C98"/>
    <w:rsid w:val="00902EB2"/>
    <w:rsid w:val="00903147"/>
    <w:rsid w:val="00903197"/>
    <w:rsid w:val="0090326F"/>
    <w:rsid w:val="009033F2"/>
    <w:rsid w:val="0090346B"/>
    <w:rsid w:val="00903720"/>
    <w:rsid w:val="0090382D"/>
    <w:rsid w:val="00903C28"/>
    <w:rsid w:val="00903C54"/>
    <w:rsid w:val="00903D0B"/>
    <w:rsid w:val="00903DBE"/>
    <w:rsid w:val="009040D8"/>
    <w:rsid w:val="0090414E"/>
    <w:rsid w:val="00904166"/>
    <w:rsid w:val="00904191"/>
    <w:rsid w:val="0090432E"/>
    <w:rsid w:val="00904443"/>
    <w:rsid w:val="00904786"/>
    <w:rsid w:val="009049C2"/>
    <w:rsid w:val="00904B9E"/>
    <w:rsid w:val="00904DC8"/>
    <w:rsid w:val="0090508F"/>
    <w:rsid w:val="009051FE"/>
    <w:rsid w:val="00905325"/>
    <w:rsid w:val="00905425"/>
    <w:rsid w:val="0090580B"/>
    <w:rsid w:val="009058B2"/>
    <w:rsid w:val="00905928"/>
    <w:rsid w:val="00905A65"/>
    <w:rsid w:val="00905CB1"/>
    <w:rsid w:val="00905DE6"/>
    <w:rsid w:val="00906067"/>
    <w:rsid w:val="009061D2"/>
    <w:rsid w:val="0090639F"/>
    <w:rsid w:val="009064C5"/>
    <w:rsid w:val="0090653F"/>
    <w:rsid w:val="00906544"/>
    <w:rsid w:val="0090670B"/>
    <w:rsid w:val="00906772"/>
    <w:rsid w:val="00906A90"/>
    <w:rsid w:val="00906C33"/>
    <w:rsid w:val="00906C79"/>
    <w:rsid w:val="00906E93"/>
    <w:rsid w:val="00906F69"/>
    <w:rsid w:val="0090719C"/>
    <w:rsid w:val="009071B3"/>
    <w:rsid w:val="009071D2"/>
    <w:rsid w:val="009072E7"/>
    <w:rsid w:val="00907570"/>
    <w:rsid w:val="009075EE"/>
    <w:rsid w:val="00907673"/>
    <w:rsid w:val="009076EB"/>
    <w:rsid w:val="00907E4D"/>
    <w:rsid w:val="00907FA4"/>
    <w:rsid w:val="0091019A"/>
    <w:rsid w:val="009106F6"/>
    <w:rsid w:val="00910776"/>
    <w:rsid w:val="00910A12"/>
    <w:rsid w:val="00910C34"/>
    <w:rsid w:val="00910F3E"/>
    <w:rsid w:val="00911511"/>
    <w:rsid w:val="009115D6"/>
    <w:rsid w:val="0091162D"/>
    <w:rsid w:val="0091189D"/>
    <w:rsid w:val="00911BDF"/>
    <w:rsid w:val="00911ECC"/>
    <w:rsid w:val="00911FBD"/>
    <w:rsid w:val="0091216F"/>
    <w:rsid w:val="00912390"/>
    <w:rsid w:val="00912403"/>
    <w:rsid w:val="00912632"/>
    <w:rsid w:val="009127FD"/>
    <w:rsid w:val="009128A7"/>
    <w:rsid w:val="009128E0"/>
    <w:rsid w:val="00912C18"/>
    <w:rsid w:val="00912C9D"/>
    <w:rsid w:val="00912F36"/>
    <w:rsid w:val="00912FD8"/>
    <w:rsid w:val="0091331D"/>
    <w:rsid w:val="009136E5"/>
    <w:rsid w:val="00913774"/>
    <w:rsid w:val="00913855"/>
    <w:rsid w:val="0091391A"/>
    <w:rsid w:val="00913CBD"/>
    <w:rsid w:val="00913D6B"/>
    <w:rsid w:val="00913EE7"/>
    <w:rsid w:val="00913F43"/>
    <w:rsid w:val="00913F9E"/>
    <w:rsid w:val="00913FE7"/>
    <w:rsid w:val="00914055"/>
    <w:rsid w:val="009141E7"/>
    <w:rsid w:val="0091436C"/>
    <w:rsid w:val="0091454B"/>
    <w:rsid w:val="009146F4"/>
    <w:rsid w:val="00914711"/>
    <w:rsid w:val="0091489A"/>
    <w:rsid w:val="00914B13"/>
    <w:rsid w:val="00914C54"/>
    <w:rsid w:val="00914CB8"/>
    <w:rsid w:val="00914CF4"/>
    <w:rsid w:val="00914DE2"/>
    <w:rsid w:val="00914E03"/>
    <w:rsid w:val="009150F3"/>
    <w:rsid w:val="0091529E"/>
    <w:rsid w:val="00915419"/>
    <w:rsid w:val="00915692"/>
    <w:rsid w:val="009156D7"/>
    <w:rsid w:val="00915791"/>
    <w:rsid w:val="0091586B"/>
    <w:rsid w:val="00915975"/>
    <w:rsid w:val="009159A2"/>
    <w:rsid w:val="009159C2"/>
    <w:rsid w:val="00915AA6"/>
    <w:rsid w:val="00915CA6"/>
    <w:rsid w:val="00915F87"/>
    <w:rsid w:val="009160D4"/>
    <w:rsid w:val="00916197"/>
    <w:rsid w:val="00916262"/>
    <w:rsid w:val="00916545"/>
    <w:rsid w:val="009165A4"/>
    <w:rsid w:val="00916706"/>
    <w:rsid w:val="00916752"/>
    <w:rsid w:val="00916A41"/>
    <w:rsid w:val="00916A9C"/>
    <w:rsid w:val="00916B38"/>
    <w:rsid w:val="00916F13"/>
    <w:rsid w:val="0091710B"/>
    <w:rsid w:val="0091735C"/>
    <w:rsid w:val="009175D1"/>
    <w:rsid w:val="009177EB"/>
    <w:rsid w:val="00917A0D"/>
    <w:rsid w:val="00917A5D"/>
    <w:rsid w:val="00917E7B"/>
    <w:rsid w:val="009200B4"/>
    <w:rsid w:val="00920104"/>
    <w:rsid w:val="00920405"/>
    <w:rsid w:val="0092048E"/>
    <w:rsid w:val="00920748"/>
    <w:rsid w:val="0092079E"/>
    <w:rsid w:val="0092088F"/>
    <w:rsid w:val="00920901"/>
    <w:rsid w:val="00920ABA"/>
    <w:rsid w:val="00920AD0"/>
    <w:rsid w:val="00920CE8"/>
    <w:rsid w:val="00921201"/>
    <w:rsid w:val="00921576"/>
    <w:rsid w:val="009215A9"/>
    <w:rsid w:val="009215DF"/>
    <w:rsid w:val="00921A17"/>
    <w:rsid w:val="00921A5F"/>
    <w:rsid w:val="00921CC6"/>
    <w:rsid w:val="00921E60"/>
    <w:rsid w:val="00921E7B"/>
    <w:rsid w:val="0092212E"/>
    <w:rsid w:val="00922185"/>
    <w:rsid w:val="00922335"/>
    <w:rsid w:val="0092237D"/>
    <w:rsid w:val="009227FD"/>
    <w:rsid w:val="0092287B"/>
    <w:rsid w:val="009229E1"/>
    <w:rsid w:val="00922D3A"/>
    <w:rsid w:val="00922D52"/>
    <w:rsid w:val="00922E36"/>
    <w:rsid w:val="00922EFF"/>
    <w:rsid w:val="00923337"/>
    <w:rsid w:val="00923755"/>
    <w:rsid w:val="00923A98"/>
    <w:rsid w:val="00923B2B"/>
    <w:rsid w:val="00923BC9"/>
    <w:rsid w:val="00923C2D"/>
    <w:rsid w:val="00923D46"/>
    <w:rsid w:val="00923EA7"/>
    <w:rsid w:val="00924419"/>
    <w:rsid w:val="00924490"/>
    <w:rsid w:val="009249E0"/>
    <w:rsid w:val="009249ED"/>
    <w:rsid w:val="009249F0"/>
    <w:rsid w:val="00924A5B"/>
    <w:rsid w:val="00924AE6"/>
    <w:rsid w:val="00924C66"/>
    <w:rsid w:val="00924CBD"/>
    <w:rsid w:val="00924D2F"/>
    <w:rsid w:val="00924ED9"/>
    <w:rsid w:val="00924FFB"/>
    <w:rsid w:val="009251BC"/>
    <w:rsid w:val="0092561F"/>
    <w:rsid w:val="009256FA"/>
    <w:rsid w:val="00925755"/>
    <w:rsid w:val="009258FB"/>
    <w:rsid w:val="009258FC"/>
    <w:rsid w:val="00925A12"/>
    <w:rsid w:val="00925C1A"/>
    <w:rsid w:val="00926096"/>
    <w:rsid w:val="009260BD"/>
    <w:rsid w:val="009262ED"/>
    <w:rsid w:val="009264E2"/>
    <w:rsid w:val="0092661A"/>
    <w:rsid w:val="00926800"/>
    <w:rsid w:val="009268EB"/>
    <w:rsid w:val="00926B09"/>
    <w:rsid w:val="00926F5C"/>
    <w:rsid w:val="00926FE5"/>
    <w:rsid w:val="009270EF"/>
    <w:rsid w:val="00927155"/>
    <w:rsid w:val="009271B5"/>
    <w:rsid w:val="0092731F"/>
    <w:rsid w:val="009273DE"/>
    <w:rsid w:val="00927564"/>
    <w:rsid w:val="009276B0"/>
    <w:rsid w:val="009276DA"/>
    <w:rsid w:val="009279B3"/>
    <w:rsid w:val="00927B59"/>
    <w:rsid w:val="009301B3"/>
    <w:rsid w:val="00930837"/>
    <w:rsid w:val="00930863"/>
    <w:rsid w:val="00930889"/>
    <w:rsid w:val="009309D2"/>
    <w:rsid w:val="00930A1A"/>
    <w:rsid w:val="00930A32"/>
    <w:rsid w:val="00930A3D"/>
    <w:rsid w:val="00930C5F"/>
    <w:rsid w:val="00930C6F"/>
    <w:rsid w:val="00930FF8"/>
    <w:rsid w:val="00931037"/>
    <w:rsid w:val="00931081"/>
    <w:rsid w:val="0093121F"/>
    <w:rsid w:val="009313FE"/>
    <w:rsid w:val="0093149D"/>
    <w:rsid w:val="009314A3"/>
    <w:rsid w:val="009314D0"/>
    <w:rsid w:val="0093164D"/>
    <w:rsid w:val="0093166A"/>
    <w:rsid w:val="009318F4"/>
    <w:rsid w:val="009320B5"/>
    <w:rsid w:val="00932180"/>
    <w:rsid w:val="00932303"/>
    <w:rsid w:val="00932364"/>
    <w:rsid w:val="009323DA"/>
    <w:rsid w:val="009323E1"/>
    <w:rsid w:val="00932486"/>
    <w:rsid w:val="009324C0"/>
    <w:rsid w:val="0093253E"/>
    <w:rsid w:val="0093286C"/>
    <w:rsid w:val="009328C9"/>
    <w:rsid w:val="00932A1B"/>
    <w:rsid w:val="00932A56"/>
    <w:rsid w:val="00932BA8"/>
    <w:rsid w:val="00933039"/>
    <w:rsid w:val="009332C7"/>
    <w:rsid w:val="009332E8"/>
    <w:rsid w:val="00933447"/>
    <w:rsid w:val="0093345D"/>
    <w:rsid w:val="009337CF"/>
    <w:rsid w:val="00933890"/>
    <w:rsid w:val="00933B8F"/>
    <w:rsid w:val="00933C97"/>
    <w:rsid w:val="00933CD5"/>
    <w:rsid w:val="00933D48"/>
    <w:rsid w:val="00933EDE"/>
    <w:rsid w:val="00934122"/>
    <w:rsid w:val="0093423A"/>
    <w:rsid w:val="00934779"/>
    <w:rsid w:val="009347D8"/>
    <w:rsid w:val="00934B69"/>
    <w:rsid w:val="00934C62"/>
    <w:rsid w:val="00934D4E"/>
    <w:rsid w:val="00935228"/>
    <w:rsid w:val="009352D3"/>
    <w:rsid w:val="0093579F"/>
    <w:rsid w:val="009359AF"/>
    <w:rsid w:val="009359FF"/>
    <w:rsid w:val="00935AF0"/>
    <w:rsid w:val="00935D8D"/>
    <w:rsid w:val="00935EDF"/>
    <w:rsid w:val="00936294"/>
    <w:rsid w:val="00936353"/>
    <w:rsid w:val="009363FF"/>
    <w:rsid w:val="0093673E"/>
    <w:rsid w:val="009368E5"/>
    <w:rsid w:val="009368F5"/>
    <w:rsid w:val="00936A6D"/>
    <w:rsid w:val="00936F75"/>
    <w:rsid w:val="00937044"/>
    <w:rsid w:val="00937477"/>
    <w:rsid w:val="0093751E"/>
    <w:rsid w:val="0093753B"/>
    <w:rsid w:val="00937B8D"/>
    <w:rsid w:val="00937CB4"/>
    <w:rsid w:val="00937D27"/>
    <w:rsid w:val="00940148"/>
    <w:rsid w:val="009401B1"/>
    <w:rsid w:val="009402BD"/>
    <w:rsid w:val="009403BD"/>
    <w:rsid w:val="009405E0"/>
    <w:rsid w:val="0094067E"/>
    <w:rsid w:val="00940C90"/>
    <w:rsid w:val="00940F6E"/>
    <w:rsid w:val="00941078"/>
    <w:rsid w:val="00941193"/>
    <w:rsid w:val="009411F0"/>
    <w:rsid w:val="009412C1"/>
    <w:rsid w:val="009413A7"/>
    <w:rsid w:val="009413D5"/>
    <w:rsid w:val="009413D8"/>
    <w:rsid w:val="00941473"/>
    <w:rsid w:val="009418F4"/>
    <w:rsid w:val="00941955"/>
    <w:rsid w:val="0094196D"/>
    <w:rsid w:val="009419AC"/>
    <w:rsid w:val="00941A65"/>
    <w:rsid w:val="00941A6E"/>
    <w:rsid w:val="00941DA4"/>
    <w:rsid w:val="00941E02"/>
    <w:rsid w:val="00941F0E"/>
    <w:rsid w:val="00941F66"/>
    <w:rsid w:val="0094208B"/>
    <w:rsid w:val="0094258C"/>
    <w:rsid w:val="009425B1"/>
    <w:rsid w:val="009425D1"/>
    <w:rsid w:val="00942917"/>
    <w:rsid w:val="00942AB8"/>
    <w:rsid w:val="00942C31"/>
    <w:rsid w:val="00942CAA"/>
    <w:rsid w:val="00943073"/>
    <w:rsid w:val="00943281"/>
    <w:rsid w:val="00943310"/>
    <w:rsid w:val="009433BC"/>
    <w:rsid w:val="00943422"/>
    <w:rsid w:val="009434DC"/>
    <w:rsid w:val="009437F5"/>
    <w:rsid w:val="0094399D"/>
    <w:rsid w:val="00943C85"/>
    <w:rsid w:val="00943D08"/>
    <w:rsid w:val="00943DCD"/>
    <w:rsid w:val="00944452"/>
    <w:rsid w:val="009448F0"/>
    <w:rsid w:val="009449A8"/>
    <w:rsid w:val="00944A13"/>
    <w:rsid w:val="00944BBD"/>
    <w:rsid w:val="00944BDA"/>
    <w:rsid w:val="00944C21"/>
    <w:rsid w:val="00945127"/>
    <w:rsid w:val="0094515C"/>
    <w:rsid w:val="0094524D"/>
    <w:rsid w:val="00945251"/>
    <w:rsid w:val="009452AD"/>
    <w:rsid w:val="0094536A"/>
    <w:rsid w:val="009455B3"/>
    <w:rsid w:val="00945690"/>
    <w:rsid w:val="00945874"/>
    <w:rsid w:val="00945C84"/>
    <w:rsid w:val="00945DBF"/>
    <w:rsid w:val="00945F47"/>
    <w:rsid w:val="0094614D"/>
    <w:rsid w:val="009461D5"/>
    <w:rsid w:val="0094631F"/>
    <w:rsid w:val="00946340"/>
    <w:rsid w:val="009463BE"/>
    <w:rsid w:val="00946703"/>
    <w:rsid w:val="009468A3"/>
    <w:rsid w:val="00946938"/>
    <w:rsid w:val="009469EA"/>
    <w:rsid w:val="00947182"/>
    <w:rsid w:val="00947D74"/>
    <w:rsid w:val="00947FE2"/>
    <w:rsid w:val="009500A9"/>
    <w:rsid w:val="009503E4"/>
    <w:rsid w:val="0095065D"/>
    <w:rsid w:val="0095070F"/>
    <w:rsid w:val="00950922"/>
    <w:rsid w:val="009509C7"/>
    <w:rsid w:val="009509E2"/>
    <w:rsid w:val="009509F4"/>
    <w:rsid w:val="00950A85"/>
    <w:rsid w:val="00950B07"/>
    <w:rsid w:val="00950D63"/>
    <w:rsid w:val="00950DFE"/>
    <w:rsid w:val="00950E71"/>
    <w:rsid w:val="00950EEA"/>
    <w:rsid w:val="00950EFB"/>
    <w:rsid w:val="009510E0"/>
    <w:rsid w:val="009510FB"/>
    <w:rsid w:val="0095113E"/>
    <w:rsid w:val="0095145F"/>
    <w:rsid w:val="00951881"/>
    <w:rsid w:val="0095191F"/>
    <w:rsid w:val="00951B60"/>
    <w:rsid w:val="00951C85"/>
    <w:rsid w:val="00951CE1"/>
    <w:rsid w:val="00951F61"/>
    <w:rsid w:val="00951FF1"/>
    <w:rsid w:val="0095212A"/>
    <w:rsid w:val="009522DE"/>
    <w:rsid w:val="009523CF"/>
    <w:rsid w:val="0095242A"/>
    <w:rsid w:val="00952900"/>
    <w:rsid w:val="00952949"/>
    <w:rsid w:val="00952A89"/>
    <w:rsid w:val="00952AAE"/>
    <w:rsid w:val="00952BF0"/>
    <w:rsid w:val="00952FC3"/>
    <w:rsid w:val="00953088"/>
    <w:rsid w:val="0095341D"/>
    <w:rsid w:val="0095346D"/>
    <w:rsid w:val="00953481"/>
    <w:rsid w:val="00953617"/>
    <w:rsid w:val="00953720"/>
    <w:rsid w:val="009538E1"/>
    <w:rsid w:val="0095394F"/>
    <w:rsid w:val="00953BC5"/>
    <w:rsid w:val="00953E89"/>
    <w:rsid w:val="009541D1"/>
    <w:rsid w:val="0095433B"/>
    <w:rsid w:val="0095439F"/>
    <w:rsid w:val="009543CE"/>
    <w:rsid w:val="009545F3"/>
    <w:rsid w:val="00954871"/>
    <w:rsid w:val="00954B05"/>
    <w:rsid w:val="00954C6A"/>
    <w:rsid w:val="00954FDF"/>
    <w:rsid w:val="009550D9"/>
    <w:rsid w:val="009551C3"/>
    <w:rsid w:val="0095538B"/>
    <w:rsid w:val="009554B1"/>
    <w:rsid w:val="0095550C"/>
    <w:rsid w:val="00955717"/>
    <w:rsid w:val="0095589E"/>
    <w:rsid w:val="00955BAD"/>
    <w:rsid w:val="00955BF7"/>
    <w:rsid w:val="00955CFF"/>
    <w:rsid w:val="00955DF8"/>
    <w:rsid w:val="00955FA2"/>
    <w:rsid w:val="009560F8"/>
    <w:rsid w:val="0095626C"/>
    <w:rsid w:val="00956352"/>
    <w:rsid w:val="0095639C"/>
    <w:rsid w:val="00956655"/>
    <w:rsid w:val="009567F7"/>
    <w:rsid w:val="00956891"/>
    <w:rsid w:val="0095691C"/>
    <w:rsid w:val="00956B3F"/>
    <w:rsid w:val="00956BAF"/>
    <w:rsid w:val="00956C7E"/>
    <w:rsid w:val="00956CC3"/>
    <w:rsid w:val="00956FF1"/>
    <w:rsid w:val="00957055"/>
    <w:rsid w:val="009570D4"/>
    <w:rsid w:val="0095735E"/>
    <w:rsid w:val="009573D0"/>
    <w:rsid w:val="00957525"/>
    <w:rsid w:val="00957578"/>
    <w:rsid w:val="00957625"/>
    <w:rsid w:val="0095770F"/>
    <w:rsid w:val="0095783B"/>
    <w:rsid w:val="00957BD1"/>
    <w:rsid w:val="00957C94"/>
    <w:rsid w:val="00957F08"/>
    <w:rsid w:val="00957FF7"/>
    <w:rsid w:val="00960257"/>
    <w:rsid w:val="0096040E"/>
    <w:rsid w:val="0096042E"/>
    <w:rsid w:val="0096096B"/>
    <w:rsid w:val="00960A67"/>
    <w:rsid w:val="00960BCE"/>
    <w:rsid w:val="00960C4D"/>
    <w:rsid w:val="00960E26"/>
    <w:rsid w:val="00961371"/>
    <w:rsid w:val="00961553"/>
    <w:rsid w:val="009618BF"/>
    <w:rsid w:val="00961D4C"/>
    <w:rsid w:val="00962513"/>
    <w:rsid w:val="0096275B"/>
    <w:rsid w:val="0096285D"/>
    <w:rsid w:val="0096286A"/>
    <w:rsid w:val="00962941"/>
    <w:rsid w:val="00962B19"/>
    <w:rsid w:val="00962B1C"/>
    <w:rsid w:val="00962D56"/>
    <w:rsid w:val="00962E32"/>
    <w:rsid w:val="00962FE4"/>
    <w:rsid w:val="009630CB"/>
    <w:rsid w:val="00963241"/>
    <w:rsid w:val="009633FA"/>
    <w:rsid w:val="00963579"/>
    <w:rsid w:val="009635FB"/>
    <w:rsid w:val="00963899"/>
    <w:rsid w:val="00963904"/>
    <w:rsid w:val="00963AE0"/>
    <w:rsid w:val="00963B39"/>
    <w:rsid w:val="0096414B"/>
    <w:rsid w:val="00964150"/>
    <w:rsid w:val="009645A9"/>
    <w:rsid w:val="00964614"/>
    <w:rsid w:val="009646A1"/>
    <w:rsid w:val="00964788"/>
    <w:rsid w:val="00964874"/>
    <w:rsid w:val="00964970"/>
    <w:rsid w:val="00964AD8"/>
    <w:rsid w:val="00964B4B"/>
    <w:rsid w:val="00964D7F"/>
    <w:rsid w:val="00964FE0"/>
    <w:rsid w:val="00965026"/>
    <w:rsid w:val="009653A5"/>
    <w:rsid w:val="009653E9"/>
    <w:rsid w:val="0096541A"/>
    <w:rsid w:val="0096567A"/>
    <w:rsid w:val="00965A5F"/>
    <w:rsid w:val="00965C6C"/>
    <w:rsid w:val="00965CF5"/>
    <w:rsid w:val="00965DC9"/>
    <w:rsid w:val="00965DCD"/>
    <w:rsid w:val="00965FAD"/>
    <w:rsid w:val="00966344"/>
    <w:rsid w:val="009663F9"/>
    <w:rsid w:val="00966663"/>
    <w:rsid w:val="009668F0"/>
    <w:rsid w:val="00966A5F"/>
    <w:rsid w:val="00966A91"/>
    <w:rsid w:val="00966B4D"/>
    <w:rsid w:val="00966C06"/>
    <w:rsid w:val="00966CBE"/>
    <w:rsid w:val="00966CCF"/>
    <w:rsid w:val="009671F1"/>
    <w:rsid w:val="009672E8"/>
    <w:rsid w:val="0096732C"/>
    <w:rsid w:val="0096753A"/>
    <w:rsid w:val="0096762A"/>
    <w:rsid w:val="00967CF6"/>
    <w:rsid w:val="00967D45"/>
    <w:rsid w:val="00967DA6"/>
    <w:rsid w:val="00967DA9"/>
    <w:rsid w:val="00970132"/>
    <w:rsid w:val="00970208"/>
    <w:rsid w:val="00970238"/>
    <w:rsid w:val="00970411"/>
    <w:rsid w:val="0097051D"/>
    <w:rsid w:val="00970577"/>
    <w:rsid w:val="009705C3"/>
    <w:rsid w:val="0097073F"/>
    <w:rsid w:val="009707D2"/>
    <w:rsid w:val="00970899"/>
    <w:rsid w:val="00970939"/>
    <w:rsid w:val="00970CFF"/>
    <w:rsid w:val="00970E5D"/>
    <w:rsid w:val="00970E60"/>
    <w:rsid w:val="00970F49"/>
    <w:rsid w:val="00971063"/>
    <w:rsid w:val="009712BD"/>
    <w:rsid w:val="0097147E"/>
    <w:rsid w:val="0097168E"/>
    <w:rsid w:val="009719CC"/>
    <w:rsid w:val="00971DF3"/>
    <w:rsid w:val="00971E2F"/>
    <w:rsid w:val="00971EE3"/>
    <w:rsid w:val="00971F77"/>
    <w:rsid w:val="00972057"/>
    <w:rsid w:val="009720F4"/>
    <w:rsid w:val="00972137"/>
    <w:rsid w:val="00972204"/>
    <w:rsid w:val="009722E3"/>
    <w:rsid w:val="00972435"/>
    <w:rsid w:val="00972503"/>
    <w:rsid w:val="00972528"/>
    <w:rsid w:val="0097277E"/>
    <w:rsid w:val="009728A0"/>
    <w:rsid w:val="009728D9"/>
    <w:rsid w:val="00972A4D"/>
    <w:rsid w:val="00972A5D"/>
    <w:rsid w:val="00972C32"/>
    <w:rsid w:val="00972D70"/>
    <w:rsid w:val="00972F57"/>
    <w:rsid w:val="00973389"/>
    <w:rsid w:val="00973404"/>
    <w:rsid w:val="0097345B"/>
    <w:rsid w:val="009735BB"/>
    <w:rsid w:val="009738EE"/>
    <w:rsid w:val="00973F71"/>
    <w:rsid w:val="00974068"/>
    <w:rsid w:val="009745FA"/>
    <w:rsid w:val="0097492C"/>
    <w:rsid w:val="00974A0C"/>
    <w:rsid w:val="00974B7C"/>
    <w:rsid w:val="00974E01"/>
    <w:rsid w:val="00974F7A"/>
    <w:rsid w:val="0097524E"/>
    <w:rsid w:val="00975359"/>
    <w:rsid w:val="00975417"/>
    <w:rsid w:val="009758F2"/>
    <w:rsid w:val="00975A61"/>
    <w:rsid w:val="00975ABC"/>
    <w:rsid w:val="00975B99"/>
    <w:rsid w:val="00975B9C"/>
    <w:rsid w:val="00975D06"/>
    <w:rsid w:val="00975FB2"/>
    <w:rsid w:val="00976162"/>
    <w:rsid w:val="0097626B"/>
    <w:rsid w:val="00976483"/>
    <w:rsid w:val="009764C6"/>
    <w:rsid w:val="0097654A"/>
    <w:rsid w:val="00976634"/>
    <w:rsid w:val="0097674A"/>
    <w:rsid w:val="00976A17"/>
    <w:rsid w:val="00976B15"/>
    <w:rsid w:val="00976DF4"/>
    <w:rsid w:val="009770D2"/>
    <w:rsid w:val="009771C9"/>
    <w:rsid w:val="009772B3"/>
    <w:rsid w:val="009772DB"/>
    <w:rsid w:val="009773EA"/>
    <w:rsid w:val="00977B29"/>
    <w:rsid w:val="00977CB0"/>
    <w:rsid w:val="00977E2D"/>
    <w:rsid w:val="00980180"/>
    <w:rsid w:val="00980220"/>
    <w:rsid w:val="00980503"/>
    <w:rsid w:val="0098080F"/>
    <w:rsid w:val="00980BE7"/>
    <w:rsid w:val="00980C90"/>
    <w:rsid w:val="009812AB"/>
    <w:rsid w:val="00981473"/>
    <w:rsid w:val="009817E1"/>
    <w:rsid w:val="009817F0"/>
    <w:rsid w:val="0098193F"/>
    <w:rsid w:val="00981954"/>
    <w:rsid w:val="009819CA"/>
    <w:rsid w:val="00981E00"/>
    <w:rsid w:val="009820FD"/>
    <w:rsid w:val="009821D4"/>
    <w:rsid w:val="00982454"/>
    <w:rsid w:val="009824E0"/>
    <w:rsid w:val="00982666"/>
    <w:rsid w:val="009826B7"/>
    <w:rsid w:val="009826FA"/>
    <w:rsid w:val="009829A4"/>
    <w:rsid w:val="00982CE9"/>
    <w:rsid w:val="00982D14"/>
    <w:rsid w:val="00982E67"/>
    <w:rsid w:val="009830FA"/>
    <w:rsid w:val="009831E7"/>
    <w:rsid w:val="00983598"/>
    <w:rsid w:val="009836C6"/>
    <w:rsid w:val="009836E7"/>
    <w:rsid w:val="009837BF"/>
    <w:rsid w:val="00983844"/>
    <w:rsid w:val="00983862"/>
    <w:rsid w:val="00983999"/>
    <w:rsid w:val="00983B4A"/>
    <w:rsid w:val="00983CCC"/>
    <w:rsid w:val="00983E7B"/>
    <w:rsid w:val="00983F2D"/>
    <w:rsid w:val="00983FBE"/>
    <w:rsid w:val="00984288"/>
    <w:rsid w:val="009844A0"/>
    <w:rsid w:val="009846BE"/>
    <w:rsid w:val="009848A4"/>
    <w:rsid w:val="00984A18"/>
    <w:rsid w:val="00984C88"/>
    <w:rsid w:val="00984D9F"/>
    <w:rsid w:val="00984E79"/>
    <w:rsid w:val="00984E90"/>
    <w:rsid w:val="00984FA8"/>
    <w:rsid w:val="00985140"/>
    <w:rsid w:val="00985251"/>
    <w:rsid w:val="0098526A"/>
    <w:rsid w:val="009852F4"/>
    <w:rsid w:val="009854BE"/>
    <w:rsid w:val="009854E4"/>
    <w:rsid w:val="009855F6"/>
    <w:rsid w:val="009857F4"/>
    <w:rsid w:val="00985902"/>
    <w:rsid w:val="00985B9A"/>
    <w:rsid w:val="00985D1D"/>
    <w:rsid w:val="00985EBC"/>
    <w:rsid w:val="00985EC3"/>
    <w:rsid w:val="00985F88"/>
    <w:rsid w:val="00985FB4"/>
    <w:rsid w:val="00986089"/>
    <w:rsid w:val="00986187"/>
    <w:rsid w:val="009861AC"/>
    <w:rsid w:val="0098631B"/>
    <w:rsid w:val="0098665C"/>
    <w:rsid w:val="00986A4F"/>
    <w:rsid w:val="00986B9F"/>
    <w:rsid w:val="00986C7E"/>
    <w:rsid w:val="00986D8C"/>
    <w:rsid w:val="00986F67"/>
    <w:rsid w:val="00986FA5"/>
    <w:rsid w:val="009870E4"/>
    <w:rsid w:val="0098729A"/>
    <w:rsid w:val="009873C9"/>
    <w:rsid w:val="00987779"/>
    <w:rsid w:val="00987872"/>
    <w:rsid w:val="00987996"/>
    <w:rsid w:val="009879AD"/>
    <w:rsid w:val="00987B7A"/>
    <w:rsid w:val="00987E1D"/>
    <w:rsid w:val="00987E78"/>
    <w:rsid w:val="00990079"/>
    <w:rsid w:val="00990134"/>
    <w:rsid w:val="009902C6"/>
    <w:rsid w:val="00990508"/>
    <w:rsid w:val="00990511"/>
    <w:rsid w:val="00990839"/>
    <w:rsid w:val="00990982"/>
    <w:rsid w:val="009909DA"/>
    <w:rsid w:val="00990A66"/>
    <w:rsid w:val="00990DE8"/>
    <w:rsid w:val="00991532"/>
    <w:rsid w:val="00991551"/>
    <w:rsid w:val="00991591"/>
    <w:rsid w:val="0099161F"/>
    <w:rsid w:val="00991695"/>
    <w:rsid w:val="00991797"/>
    <w:rsid w:val="00991802"/>
    <w:rsid w:val="009919C8"/>
    <w:rsid w:val="00991A9C"/>
    <w:rsid w:val="00991BFF"/>
    <w:rsid w:val="00991E82"/>
    <w:rsid w:val="00991F61"/>
    <w:rsid w:val="00991FC3"/>
    <w:rsid w:val="009922E5"/>
    <w:rsid w:val="00992358"/>
    <w:rsid w:val="00992546"/>
    <w:rsid w:val="009926AA"/>
    <w:rsid w:val="009926B4"/>
    <w:rsid w:val="009926D5"/>
    <w:rsid w:val="0099273E"/>
    <w:rsid w:val="00992797"/>
    <w:rsid w:val="0099286C"/>
    <w:rsid w:val="009929E6"/>
    <w:rsid w:val="00992C4A"/>
    <w:rsid w:val="00992EFE"/>
    <w:rsid w:val="00992F0B"/>
    <w:rsid w:val="00993084"/>
    <w:rsid w:val="009933AE"/>
    <w:rsid w:val="0099342B"/>
    <w:rsid w:val="00993443"/>
    <w:rsid w:val="009935FD"/>
    <w:rsid w:val="009937A3"/>
    <w:rsid w:val="00993B6D"/>
    <w:rsid w:val="00993C8F"/>
    <w:rsid w:val="009941CD"/>
    <w:rsid w:val="009944A5"/>
    <w:rsid w:val="0099454E"/>
    <w:rsid w:val="00994610"/>
    <w:rsid w:val="0099467D"/>
    <w:rsid w:val="00994AA2"/>
    <w:rsid w:val="00994BEA"/>
    <w:rsid w:val="00994DDC"/>
    <w:rsid w:val="00995071"/>
    <w:rsid w:val="009950C6"/>
    <w:rsid w:val="009951AA"/>
    <w:rsid w:val="0099533D"/>
    <w:rsid w:val="009954DB"/>
    <w:rsid w:val="00995507"/>
    <w:rsid w:val="00995525"/>
    <w:rsid w:val="00995613"/>
    <w:rsid w:val="009958C0"/>
    <w:rsid w:val="0099590A"/>
    <w:rsid w:val="00995941"/>
    <w:rsid w:val="00995AEF"/>
    <w:rsid w:val="00995B18"/>
    <w:rsid w:val="00995B98"/>
    <w:rsid w:val="00995CD4"/>
    <w:rsid w:val="00995D65"/>
    <w:rsid w:val="00995F4E"/>
    <w:rsid w:val="009961C7"/>
    <w:rsid w:val="009963C7"/>
    <w:rsid w:val="0099661E"/>
    <w:rsid w:val="009968D8"/>
    <w:rsid w:val="00996980"/>
    <w:rsid w:val="00996A1C"/>
    <w:rsid w:val="00996ABB"/>
    <w:rsid w:val="00996BB4"/>
    <w:rsid w:val="00996D7B"/>
    <w:rsid w:val="009970F3"/>
    <w:rsid w:val="00997229"/>
    <w:rsid w:val="009972EA"/>
    <w:rsid w:val="009977F7"/>
    <w:rsid w:val="00997B23"/>
    <w:rsid w:val="00997B4E"/>
    <w:rsid w:val="00997C47"/>
    <w:rsid w:val="00997EEF"/>
    <w:rsid w:val="009A03DC"/>
    <w:rsid w:val="009A0448"/>
    <w:rsid w:val="009A0A2B"/>
    <w:rsid w:val="009A0C20"/>
    <w:rsid w:val="009A0C4E"/>
    <w:rsid w:val="009A0E1B"/>
    <w:rsid w:val="009A1067"/>
    <w:rsid w:val="009A123B"/>
    <w:rsid w:val="009A1406"/>
    <w:rsid w:val="009A1686"/>
    <w:rsid w:val="009A1688"/>
    <w:rsid w:val="009A180A"/>
    <w:rsid w:val="009A188B"/>
    <w:rsid w:val="009A1BC8"/>
    <w:rsid w:val="009A1F40"/>
    <w:rsid w:val="009A1F57"/>
    <w:rsid w:val="009A1F87"/>
    <w:rsid w:val="009A20DB"/>
    <w:rsid w:val="009A21CA"/>
    <w:rsid w:val="009A21ED"/>
    <w:rsid w:val="009A240C"/>
    <w:rsid w:val="009A250F"/>
    <w:rsid w:val="009A27F2"/>
    <w:rsid w:val="009A2811"/>
    <w:rsid w:val="009A29D3"/>
    <w:rsid w:val="009A2A5E"/>
    <w:rsid w:val="009A2BA7"/>
    <w:rsid w:val="009A2D8C"/>
    <w:rsid w:val="009A2E6D"/>
    <w:rsid w:val="009A32C6"/>
    <w:rsid w:val="009A3305"/>
    <w:rsid w:val="009A33D3"/>
    <w:rsid w:val="009A33E1"/>
    <w:rsid w:val="009A33F2"/>
    <w:rsid w:val="009A3402"/>
    <w:rsid w:val="009A34A8"/>
    <w:rsid w:val="009A3860"/>
    <w:rsid w:val="009A389D"/>
    <w:rsid w:val="009A38F0"/>
    <w:rsid w:val="009A3BEB"/>
    <w:rsid w:val="009A3FFD"/>
    <w:rsid w:val="009A4094"/>
    <w:rsid w:val="009A4177"/>
    <w:rsid w:val="009A4571"/>
    <w:rsid w:val="009A4720"/>
    <w:rsid w:val="009A4B27"/>
    <w:rsid w:val="009A4CB2"/>
    <w:rsid w:val="009A4DAD"/>
    <w:rsid w:val="009A4E67"/>
    <w:rsid w:val="009A4E9D"/>
    <w:rsid w:val="009A5011"/>
    <w:rsid w:val="009A5394"/>
    <w:rsid w:val="009A5432"/>
    <w:rsid w:val="009A54B7"/>
    <w:rsid w:val="009A5893"/>
    <w:rsid w:val="009A58A8"/>
    <w:rsid w:val="009A5948"/>
    <w:rsid w:val="009A5A2F"/>
    <w:rsid w:val="009A5B62"/>
    <w:rsid w:val="009A5DCB"/>
    <w:rsid w:val="009A6176"/>
    <w:rsid w:val="009A6472"/>
    <w:rsid w:val="009A64E3"/>
    <w:rsid w:val="009A6777"/>
    <w:rsid w:val="009A6ABE"/>
    <w:rsid w:val="009A6B22"/>
    <w:rsid w:val="009A6BC9"/>
    <w:rsid w:val="009A6D51"/>
    <w:rsid w:val="009A79CE"/>
    <w:rsid w:val="009A7D09"/>
    <w:rsid w:val="009A7D8F"/>
    <w:rsid w:val="009B00E8"/>
    <w:rsid w:val="009B028A"/>
    <w:rsid w:val="009B084D"/>
    <w:rsid w:val="009B097D"/>
    <w:rsid w:val="009B0A75"/>
    <w:rsid w:val="009B0BD8"/>
    <w:rsid w:val="009B0D8D"/>
    <w:rsid w:val="009B123E"/>
    <w:rsid w:val="009B12B6"/>
    <w:rsid w:val="009B14DA"/>
    <w:rsid w:val="009B1528"/>
    <w:rsid w:val="009B1688"/>
    <w:rsid w:val="009B16EA"/>
    <w:rsid w:val="009B16F2"/>
    <w:rsid w:val="009B17B5"/>
    <w:rsid w:val="009B18E6"/>
    <w:rsid w:val="009B1BEB"/>
    <w:rsid w:val="009B1CA7"/>
    <w:rsid w:val="009B1D2F"/>
    <w:rsid w:val="009B1F02"/>
    <w:rsid w:val="009B1FEB"/>
    <w:rsid w:val="009B2296"/>
    <w:rsid w:val="009B22CB"/>
    <w:rsid w:val="009B2338"/>
    <w:rsid w:val="009B2715"/>
    <w:rsid w:val="009B28EF"/>
    <w:rsid w:val="009B2A05"/>
    <w:rsid w:val="009B2B50"/>
    <w:rsid w:val="009B2B94"/>
    <w:rsid w:val="009B2BF3"/>
    <w:rsid w:val="009B2C88"/>
    <w:rsid w:val="009B2DE8"/>
    <w:rsid w:val="009B2F2F"/>
    <w:rsid w:val="009B3040"/>
    <w:rsid w:val="009B3379"/>
    <w:rsid w:val="009B3401"/>
    <w:rsid w:val="009B34F3"/>
    <w:rsid w:val="009B350A"/>
    <w:rsid w:val="009B37F9"/>
    <w:rsid w:val="009B39B5"/>
    <w:rsid w:val="009B3BA7"/>
    <w:rsid w:val="009B3BFA"/>
    <w:rsid w:val="009B4023"/>
    <w:rsid w:val="009B40EC"/>
    <w:rsid w:val="009B422F"/>
    <w:rsid w:val="009B4679"/>
    <w:rsid w:val="009B4A2D"/>
    <w:rsid w:val="009B4A81"/>
    <w:rsid w:val="009B4CB6"/>
    <w:rsid w:val="009B4D15"/>
    <w:rsid w:val="009B4DDD"/>
    <w:rsid w:val="009B4E06"/>
    <w:rsid w:val="009B4FF4"/>
    <w:rsid w:val="009B5006"/>
    <w:rsid w:val="009B503C"/>
    <w:rsid w:val="009B507D"/>
    <w:rsid w:val="009B57C0"/>
    <w:rsid w:val="009B5A35"/>
    <w:rsid w:val="009B5AEA"/>
    <w:rsid w:val="009B5D46"/>
    <w:rsid w:val="009B609A"/>
    <w:rsid w:val="009B60DE"/>
    <w:rsid w:val="009B64C0"/>
    <w:rsid w:val="009B65D3"/>
    <w:rsid w:val="009B6674"/>
    <w:rsid w:val="009B6728"/>
    <w:rsid w:val="009B67CE"/>
    <w:rsid w:val="009B6B5F"/>
    <w:rsid w:val="009B6D8E"/>
    <w:rsid w:val="009B6FD2"/>
    <w:rsid w:val="009B70D8"/>
    <w:rsid w:val="009B70E3"/>
    <w:rsid w:val="009B721F"/>
    <w:rsid w:val="009B7272"/>
    <w:rsid w:val="009B751C"/>
    <w:rsid w:val="009B7757"/>
    <w:rsid w:val="009B78E2"/>
    <w:rsid w:val="009B7AD5"/>
    <w:rsid w:val="009B7C47"/>
    <w:rsid w:val="009C0167"/>
    <w:rsid w:val="009C03F1"/>
    <w:rsid w:val="009C04CE"/>
    <w:rsid w:val="009C0717"/>
    <w:rsid w:val="009C099C"/>
    <w:rsid w:val="009C0B44"/>
    <w:rsid w:val="009C0E2F"/>
    <w:rsid w:val="009C0ED7"/>
    <w:rsid w:val="009C0FB4"/>
    <w:rsid w:val="009C0FD4"/>
    <w:rsid w:val="009C10CD"/>
    <w:rsid w:val="009C15C5"/>
    <w:rsid w:val="009C186B"/>
    <w:rsid w:val="009C1A65"/>
    <w:rsid w:val="009C1E24"/>
    <w:rsid w:val="009C1E29"/>
    <w:rsid w:val="009C1F0F"/>
    <w:rsid w:val="009C1F2F"/>
    <w:rsid w:val="009C1F4F"/>
    <w:rsid w:val="009C1F80"/>
    <w:rsid w:val="009C223D"/>
    <w:rsid w:val="009C2320"/>
    <w:rsid w:val="009C24C5"/>
    <w:rsid w:val="009C26C4"/>
    <w:rsid w:val="009C270D"/>
    <w:rsid w:val="009C287B"/>
    <w:rsid w:val="009C29CF"/>
    <w:rsid w:val="009C2B33"/>
    <w:rsid w:val="009C2B9F"/>
    <w:rsid w:val="009C2C59"/>
    <w:rsid w:val="009C2E0F"/>
    <w:rsid w:val="009C3061"/>
    <w:rsid w:val="009C3087"/>
    <w:rsid w:val="009C34BF"/>
    <w:rsid w:val="009C36A7"/>
    <w:rsid w:val="009C36BE"/>
    <w:rsid w:val="009C38C5"/>
    <w:rsid w:val="009C3B36"/>
    <w:rsid w:val="009C3C87"/>
    <w:rsid w:val="009C3D88"/>
    <w:rsid w:val="009C3E7B"/>
    <w:rsid w:val="009C3EC9"/>
    <w:rsid w:val="009C3FFD"/>
    <w:rsid w:val="009C4077"/>
    <w:rsid w:val="009C4141"/>
    <w:rsid w:val="009C430C"/>
    <w:rsid w:val="009C4345"/>
    <w:rsid w:val="009C43A4"/>
    <w:rsid w:val="009C43AD"/>
    <w:rsid w:val="009C45A8"/>
    <w:rsid w:val="009C473A"/>
    <w:rsid w:val="009C4C87"/>
    <w:rsid w:val="009C4D90"/>
    <w:rsid w:val="009C4E35"/>
    <w:rsid w:val="009C5021"/>
    <w:rsid w:val="009C53F2"/>
    <w:rsid w:val="009C54E4"/>
    <w:rsid w:val="009C571F"/>
    <w:rsid w:val="009C59A4"/>
    <w:rsid w:val="009C5B1A"/>
    <w:rsid w:val="009C5C33"/>
    <w:rsid w:val="009C5EE7"/>
    <w:rsid w:val="009C5F5A"/>
    <w:rsid w:val="009C60A0"/>
    <w:rsid w:val="009C60A2"/>
    <w:rsid w:val="009C61EA"/>
    <w:rsid w:val="009C62A7"/>
    <w:rsid w:val="009C6475"/>
    <w:rsid w:val="009C6484"/>
    <w:rsid w:val="009C64A9"/>
    <w:rsid w:val="009C6766"/>
    <w:rsid w:val="009C6D00"/>
    <w:rsid w:val="009C70AB"/>
    <w:rsid w:val="009C71A5"/>
    <w:rsid w:val="009C72A7"/>
    <w:rsid w:val="009C72F7"/>
    <w:rsid w:val="009C7385"/>
    <w:rsid w:val="009C7652"/>
    <w:rsid w:val="009C7893"/>
    <w:rsid w:val="009C7A63"/>
    <w:rsid w:val="009C7D62"/>
    <w:rsid w:val="009C7DE2"/>
    <w:rsid w:val="009C7F4D"/>
    <w:rsid w:val="009C7F8E"/>
    <w:rsid w:val="009D0259"/>
    <w:rsid w:val="009D0291"/>
    <w:rsid w:val="009D039D"/>
    <w:rsid w:val="009D043E"/>
    <w:rsid w:val="009D0528"/>
    <w:rsid w:val="009D084D"/>
    <w:rsid w:val="009D0872"/>
    <w:rsid w:val="009D0A6F"/>
    <w:rsid w:val="009D0B65"/>
    <w:rsid w:val="009D0BCE"/>
    <w:rsid w:val="009D0E07"/>
    <w:rsid w:val="009D0E70"/>
    <w:rsid w:val="009D0F5D"/>
    <w:rsid w:val="009D0FA8"/>
    <w:rsid w:val="009D1064"/>
    <w:rsid w:val="009D109B"/>
    <w:rsid w:val="009D1105"/>
    <w:rsid w:val="009D129A"/>
    <w:rsid w:val="009D1300"/>
    <w:rsid w:val="009D1395"/>
    <w:rsid w:val="009D15C5"/>
    <w:rsid w:val="009D1658"/>
    <w:rsid w:val="009D1675"/>
    <w:rsid w:val="009D167C"/>
    <w:rsid w:val="009D1729"/>
    <w:rsid w:val="009D17E7"/>
    <w:rsid w:val="009D18D7"/>
    <w:rsid w:val="009D1947"/>
    <w:rsid w:val="009D1A39"/>
    <w:rsid w:val="009D1CE3"/>
    <w:rsid w:val="009D1D7A"/>
    <w:rsid w:val="009D2149"/>
    <w:rsid w:val="009D219F"/>
    <w:rsid w:val="009D269C"/>
    <w:rsid w:val="009D2740"/>
    <w:rsid w:val="009D286D"/>
    <w:rsid w:val="009D2B37"/>
    <w:rsid w:val="009D2C61"/>
    <w:rsid w:val="009D2D2D"/>
    <w:rsid w:val="009D2E84"/>
    <w:rsid w:val="009D2E87"/>
    <w:rsid w:val="009D2F38"/>
    <w:rsid w:val="009D3012"/>
    <w:rsid w:val="009D3084"/>
    <w:rsid w:val="009D352C"/>
    <w:rsid w:val="009D3A14"/>
    <w:rsid w:val="009D3C28"/>
    <w:rsid w:val="009D3D82"/>
    <w:rsid w:val="009D3ED7"/>
    <w:rsid w:val="009D40C3"/>
    <w:rsid w:val="009D4239"/>
    <w:rsid w:val="009D4333"/>
    <w:rsid w:val="009D4427"/>
    <w:rsid w:val="009D44AA"/>
    <w:rsid w:val="009D45FD"/>
    <w:rsid w:val="009D48AF"/>
    <w:rsid w:val="009D49B2"/>
    <w:rsid w:val="009D4AA7"/>
    <w:rsid w:val="009D4B3C"/>
    <w:rsid w:val="009D4BD1"/>
    <w:rsid w:val="009D4FE2"/>
    <w:rsid w:val="009D507D"/>
    <w:rsid w:val="009D507E"/>
    <w:rsid w:val="009D518A"/>
    <w:rsid w:val="009D5568"/>
    <w:rsid w:val="009D5667"/>
    <w:rsid w:val="009D582F"/>
    <w:rsid w:val="009D58D1"/>
    <w:rsid w:val="009D58EC"/>
    <w:rsid w:val="009D5C69"/>
    <w:rsid w:val="009D5CF9"/>
    <w:rsid w:val="009D5DB7"/>
    <w:rsid w:val="009D6042"/>
    <w:rsid w:val="009D6098"/>
    <w:rsid w:val="009D6363"/>
    <w:rsid w:val="009D650E"/>
    <w:rsid w:val="009D65B5"/>
    <w:rsid w:val="009D6898"/>
    <w:rsid w:val="009D6C05"/>
    <w:rsid w:val="009D6CA9"/>
    <w:rsid w:val="009D6F7C"/>
    <w:rsid w:val="009D7157"/>
    <w:rsid w:val="009D7C3C"/>
    <w:rsid w:val="009D7E82"/>
    <w:rsid w:val="009D7EC5"/>
    <w:rsid w:val="009E0052"/>
    <w:rsid w:val="009E0188"/>
    <w:rsid w:val="009E06FA"/>
    <w:rsid w:val="009E079D"/>
    <w:rsid w:val="009E085E"/>
    <w:rsid w:val="009E0A0F"/>
    <w:rsid w:val="009E1077"/>
    <w:rsid w:val="009E1210"/>
    <w:rsid w:val="009E12A1"/>
    <w:rsid w:val="009E1446"/>
    <w:rsid w:val="009E1618"/>
    <w:rsid w:val="009E1AB4"/>
    <w:rsid w:val="009E1B80"/>
    <w:rsid w:val="009E1C70"/>
    <w:rsid w:val="009E202E"/>
    <w:rsid w:val="009E20CE"/>
    <w:rsid w:val="009E2407"/>
    <w:rsid w:val="009E2742"/>
    <w:rsid w:val="009E2949"/>
    <w:rsid w:val="009E2BD9"/>
    <w:rsid w:val="009E2DB6"/>
    <w:rsid w:val="009E2DDD"/>
    <w:rsid w:val="009E2E5C"/>
    <w:rsid w:val="009E2E6D"/>
    <w:rsid w:val="009E2EF3"/>
    <w:rsid w:val="009E3126"/>
    <w:rsid w:val="009E335C"/>
    <w:rsid w:val="009E351F"/>
    <w:rsid w:val="009E365B"/>
    <w:rsid w:val="009E3B50"/>
    <w:rsid w:val="009E3D11"/>
    <w:rsid w:val="009E3F73"/>
    <w:rsid w:val="009E3FEE"/>
    <w:rsid w:val="009E4354"/>
    <w:rsid w:val="009E45E3"/>
    <w:rsid w:val="009E45F2"/>
    <w:rsid w:val="009E486C"/>
    <w:rsid w:val="009E4CCA"/>
    <w:rsid w:val="009E4FDE"/>
    <w:rsid w:val="009E500A"/>
    <w:rsid w:val="009E50D0"/>
    <w:rsid w:val="009E52E9"/>
    <w:rsid w:val="009E5559"/>
    <w:rsid w:val="009E57AC"/>
    <w:rsid w:val="009E5821"/>
    <w:rsid w:val="009E5BA4"/>
    <w:rsid w:val="009E5D68"/>
    <w:rsid w:val="009E5F51"/>
    <w:rsid w:val="009E6236"/>
    <w:rsid w:val="009E666D"/>
    <w:rsid w:val="009E6674"/>
    <w:rsid w:val="009E6B3E"/>
    <w:rsid w:val="009E6C11"/>
    <w:rsid w:val="009E6D45"/>
    <w:rsid w:val="009E6D93"/>
    <w:rsid w:val="009E6E03"/>
    <w:rsid w:val="009E6EAD"/>
    <w:rsid w:val="009E70AC"/>
    <w:rsid w:val="009E7122"/>
    <w:rsid w:val="009E736F"/>
    <w:rsid w:val="009E78B1"/>
    <w:rsid w:val="009E78CD"/>
    <w:rsid w:val="009E78FF"/>
    <w:rsid w:val="009E7C0C"/>
    <w:rsid w:val="009F0087"/>
    <w:rsid w:val="009F01D5"/>
    <w:rsid w:val="009F03BF"/>
    <w:rsid w:val="009F06CE"/>
    <w:rsid w:val="009F1132"/>
    <w:rsid w:val="009F14F9"/>
    <w:rsid w:val="009F1599"/>
    <w:rsid w:val="009F165F"/>
    <w:rsid w:val="009F1C4B"/>
    <w:rsid w:val="009F1E17"/>
    <w:rsid w:val="009F1F89"/>
    <w:rsid w:val="009F210A"/>
    <w:rsid w:val="009F2131"/>
    <w:rsid w:val="009F22D1"/>
    <w:rsid w:val="009F25F2"/>
    <w:rsid w:val="009F267B"/>
    <w:rsid w:val="009F28D9"/>
    <w:rsid w:val="009F2950"/>
    <w:rsid w:val="009F2957"/>
    <w:rsid w:val="009F299F"/>
    <w:rsid w:val="009F2AE8"/>
    <w:rsid w:val="009F2BAC"/>
    <w:rsid w:val="009F2E60"/>
    <w:rsid w:val="009F3018"/>
    <w:rsid w:val="009F304F"/>
    <w:rsid w:val="009F3154"/>
    <w:rsid w:val="009F3155"/>
    <w:rsid w:val="009F3217"/>
    <w:rsid w:val="009F3336"/>
    <w:rsid w:val="009F353D"/>
    <w:rsid w:val="009F3692"/>
    <w:rsid w:val="009F388C"/>
    <w:rsid w:val="009F3953"/>
    <w:rsid w:val="009F39AC"/>
    <w:rsid w:val="009F3A65"/>
    <w:rsid w:val="009F3CFD"/>
    <w:rsid w:val="009F43A4"/>
    <w:rsid w:val="009F4457"/>
    <w:rsid w:val="009F4978"/>
    <w:rsid w:val="009F4C5B"/>
    <w:rsid w:val="009F4EC2"/>
    <w:rsid w:val="009F4FD6"/>
    <w:rsid w:val="009F50A9"/>
    <w:rsid w:val="009F5278"/>
    <w:rsid w:val="009F531D"/>
    <w:rsid w:val="009F5525"/>
    <w:rsid w:val="009F56A4"/>
    <w:rsid w:val="009F5883"/>
    <w:rsid w:val="009F5991"/>
    <w:rsid w:val="009F5BB8"/>
    <w:rsid w:val="009F5C0F"/>
    <w:rsid w:val="009F5DFD"/>
    <w:rsid w:val="009F5EB6"/>
    <w:rsid w:val="009F6280"/>
    <w:rsid w:val="009F6454"/>
    <w:rsid w:val="009F6460"/>
    <w:rsid w:val="009F6690"/>
    <w:rsid w:val="009F6C09"/>
    <w:rsid w:val="009F6D4D"/>
    <w:rsid w:val="009F6D8E"/>
    <w:rsid w:val="009F6ED2"/>
    <w:rsid w:val="009F6F1E"/>
    <w:rsid w:val="009F6FD1"/>
    <w:rsid w:val="009F72E3"/>
    <w:rsid w:val="009F73AB"/>
    <w:rsid w:val="009F755C"/>
    <w:rsid w:val="009F7788"/>
    <w:rsid w:val="009F78F9"/>
    <w:rsid w:val="009F7921"/>
    <w:rsid w:val="009F79EC"/>
    <w:rsid w:val="009F7B05"/>
    <w:rsid w:val="009F7CB4"/>
    <w:rsid w:val="00A0016B"/>
    <w:rsid w:val="00A002DA"/>
    <w:rsid w:val="00A00329"/>
    <w:rsid w:val="00A004EA"/>
    <w:rsid w:val="00A005A4"/>
    <w:rsid w:val="00A006B6"/>
    <w:rsid w:val="00A0079D"/>
    <w:rsid w:val="00A00914"/>
    <w:rsid w:val="00A00A83"/>
    <w:rsid w:val="00A00DAB"/>
    <w:rsid w:val="00A00E92"/>
    <w:rsid w:val="00A01558"/>
    <w:rsid w:val="00A0172F"/>
    <w:rsid w:val="00A0183A"/>
    <w:rsid w:val="00A01862"/>
    <w:rsid w:val="00A018CE"/>
    <w:rsid w:val="00A019E9"/>
    <w:rsid w:val="00A01A42"/>
    <w:rsid w:val="00A01AD1"/>
    <w:rsid w:val="00A01BB7"/>
    <w:rsid w:val="00A01D0E"/>
    <w:rsid w:val="00A01F1A"/>
    <w:rsid w:val="00A02002"/>
    <w:rsid w:val="00A02150"/>
    <w:rsid w:val="00A0279E"/>
    <w:rsid w:val="00A027C4"/>
    <w:rsid w:val="00A02B84"/>
    <w:rsid w:val="00A02BCD"/>
    <w:rsid w:val="00A02F17"/>
    <w:rsid w:val="00A02F72"/>
    <w:rsid w:val="00A02FD5"/>
    <w:rsid w:val="00A02FE0"/>
    <w:rsid w:val="00A02FE6"/>
    <w:rsid w:val="00A03484"/>
    <w:rsid w:val="00A036B7"/>
    <w:rsid w:val="00A038F3"/>
    <w:rsid w:val="00A03C9E"/>
    <w:rsid w:val="00A03E84"/>
    <w:rsid w:val="00A03F11"/>
    <w:rsid w:val="00A042EB"/>
    <w:rsid w:val="00A0437E"/>
    <w:rsid w:val="00A04452"/>
    <w:rsid w:val="00A04993"/>
    <w:rsid w:val="00A04A46"/>
    <w:rsid w:val="00A04AD9"/>
    <w:rsid w:val="00A04ADF"/>
    <w:rsid w:val="00A04C0E"/>
    <w:rsid w:val="00A04F6F"/>
    <w:rsid w:val="00A05194"/>
    <w:rsid w:val="00A05422"/>
    <w:rsid w:val="00A0548B"/>
    <w:rsid w:val="00A0550D"/>
    <w:rsid w:val="00A05579"/>
    <w:rsid w:val="00A055FB"/>
    <w:rsid w:val="00A058C6"/>
    <w:rsid w:val="00A059AB"/>
    <w:rsid w:val="00A059B8"/>
    <w:rsid w:val="00A05ADC"/>
    <w:rsid w:val="00A05BDF"/>
    <w:rsid w:val="00A05C45"/>
    <w:rsid w:val="00A05D9B"/>
    <w:rsid w:val="00A05EF4"/>
    <w:rsid w:val="00A05FFD"/>
    <w:rsid w:val="00A0623D"/>
    <w:rsid w:val="00A0637F"/>
    <w:rsid w:val="00A06529"/>
    <w:rsid w:val="00A066F8"/>
    <w:rsid w:val="00A067CA"/>
    <w:rsid w:val="00A068F3"/>
    <w:rsid w:val="00A06AD9"/>
    <w:rsid w:val="00A06FE5"/>
    <w:rsid w:val="00A06FF8"/>
    <w:rsid w:val="00A07028"/>
    <w:rsid w:val="00A0708E"/>
    <w:rsid w:val="00A072DC"/>
    <w:rsid w:val="00A07304"/>
    <w:rsid w:val="00A07434"/>
    <w:rsid w:val="00A074FF"/>
    <w:rsid w:val="00A07531"/>
    <w:rsid w:val="00A0755A"/>
    <w:rsid w:val="00A07AC5"/>
    <w:rsid w:val="00A07DA1"/>
    <w:rsid w:val="00A07EB9"/>
    <w:rsid w:val="00A07FA3"/>
    <w:rsid w:val="00A1004A"/>
    <w:rsid w:val="00A1009E"/>
    <w:rsid w:val="00A10322"/>
    <w:rsid w:val="00A10B51"/>
    <w:rsid w:val="00A10C0D"/>
    <w:rsid w:val="00A11127"/>
    <w:rsid w:val="00A11161"/>
    <w:rsid w:val="00A11235"/>
    <w:rsid w:val="00A11253"/>
    <w:rsid w:val="00A112B6"/>
    <w:rsid w:val="00A11494"/>
    <w:rsid w:val="00A115B9"/>
    <w:rsid w:val="00A117DB"/>
    <w:rsid w:val="00A1181F"/>
    <w:rsid w:val="00A119D9"/>
    <w:rsid w:val="00A11C4A"/>
    <w:rsid w:val="00A11CAC"/>
    <w:rsid w:val="00A12094"/>
    <w:rsid w:val="00A120B3"/>
    <w:rsid w:val="00A12259"/>
    <w:rsid w:val="00A1244E"/>
    <w:rsid w:val="00A124A9"/>
    <w:rsid w:val="00A124D6"/>
    <w:rsid w:val="00A12537"/>
    <w:rsid w:val="00A12B7C"/>
    <w:rsid w:val="00A12BB6"/>
    <w:rsid w:val="00A12D73"/>
    <w:rsid w:val="00A12F3D"/>
    <w:rsid w:val="00A1336B"/>
    <w:rsid w:val="00A1347D"/>
    <w:rsid w:val="00A13536"/>
    <w:rsid w:val="00A1361D"/>
    <w:rsid w:val="00A1371B"/>
    <w:rsid w:val="00A13DE1"/>
    <w:rsid w:val="00A145FD"/>
    <w:rsid w:val="00A14784"/>
    <w:rsid w:val="00A148AF"/>
    <w:rsid w:val="00A14974"/>
    <w:rsid w:val="00A149C4"/>
    <w:rsid w:val="00A14AE3"/>
    <w:rsid w:val="00A14AFA"/>
    <w:rsid w:val="00A14D00"/>
    <w:rsid w:val="00A15188"/>
    <w:rsid w:val="00A151C9"/>
    <w:rsid w:val="00A154AE"/>
    <w:rsid w:val="00A156B1"/>
    <w:rsid w:val="00A159A9"/>
    <w:rsid w:val="00A15A11"/>
    <w:rsid w:val="00A15A3C"/>
    <w:rsid w:val="00A15A97"/>
    <w:rsid w:val="00A15D19"/>
    <w:rsid w:val="00A15E9E"/>
    <w:rsid w:val="00A161ED"/>
    <w:rsid w:val="00A165C7"/>
    <w:rsid w:val="00A16881"/>
    <w:rsid w:val="00A16BE3"/>
    <w:rsid w:val="00A16BF3"/>
    <w:rsid w:val="00A16CA3"/>
    <w:rsid w:val="00A16F5C"/>
    <w:rsid w:val="00A172AC"/>
    <w:rsid w:val="00A17673"/>
    <w:rsid w:val="00A177AD"/>
    <w:rsid w:val="00A178DD"/>
    <w:rsid w:val="00A17EE3"/>
    <w:rsid w:val="00A17F90"/>
    <w:rsid w:val="00A17FB6"/>
    <w:rsid w:val="00A20541"/>
    <w:rsid w:val="00A20ADC"/>
    <w:rsid w:val="00A20B0C"/>
    <w:rsid w:val="00A20CD7"/>
    <w:rsid w:val="00A20CEF"/>
    <w:rsid w:val="00A20D65"/>
    <w:rsid w:val="00A20ED4"/>
    <w:rsid w:val="00A20F14"/>
    <w:rsid w:val="00A20F1F"/>
    <w:rsid w:val="00A21089"/>
    <w:rsid w:val="00A210BF"/>
    <w:rsid w:val="00A210D3"/>
    <w:rsid w:val="00A21167"/>
    <w:rsid w:val="00A21680"/>
    <w:rsid w:val="00A21B1A"/>
    <w:rsid w:val="00A21D7B"/>
    <w:rsid w:val="00A21F04"/>
    <w:rsid w:val="00A21F65"/>
    <w:rsid w:val="00A21FE5"/>
    <w:rsid w:val="00A22052"/>
    <w:rsid w:val="00A2210A"/>
    <w:rsid w:val="00A22118"/>
    <w:rsid w:val="00A2212E"/>
    <w:rsid w:val="00A221A2"/>
    <w:rsid w:val="00A22C8C"/>
    <w:rsid w:val="00A22CEA"/>
    <w:rsid w:val="00A230DA"/>
    <w:rsid w:val="00A2330B"/>
    <w:rsid w:val="00A2345A"/>
    <w:rsid w:val="00A23B49"/>
    <w:rsid w:val="00A241F4"/>
    <w:rsid w:val="00A24208"/>
    <w:rsid w:val="00A243CE"/>
    <w:rsid w:val="00A2440B"/>
    <w:rsid w:val="00A24771"/>
    <w:rsid w:val="00A2483C"/>
    <w:rsid w:val="00A24845"/>
    <w:rsid w:val="00A24D11"/>
    <w:rsid w:val="00A24F75"/>
    <w:rsid w:val="00A251CB"/>
    <w:rsid w:val="00A25262"/>
    <w:rsid w:val="00A253E9"/>
    <w:rsid w:val="00A25605"/>
    <w:rsid w:val="00A25706"/>
    <w:rsid w:val="00A25DA8"/>
    <w:rsid w:val="00A25E1C"/>
    <w:rsid w:val="00A25FA6"/>
    <w:rsid w:val="00A264F0"/>
    <w:rsid w:val="00A266B9"/>
    <w:rsid w:val="00A26886"/>
    <w:rsid w:val="00A26A6B"/>
    <w:rsid w:val="00A26C75"/>
    <w:rsid w:val="00A27024"/>
    <w:rsid w:val="00A27099"/>
    <w:rsid w:val="00A2711C"/>
    <w:rsid w:val="00A271F0"/>
    <w:rsid w:val="00A272AA"/>
    <w:rsid w:val="00A27479"/>
    <w:rsid w:val="00A2759F"/>
    <w:rsid w:val="00A27801"/>
    <w:rsid w:val="00A2799C"/>
    <w:rsid w:val="00A2799F"/>
    <w:rsid w:val="00A27AE6"/>
    <w:rsid w:val="00A27B54"/>
    <w:rsid w:val="00A27E12"/>
    <w:rsid w:val="00A27EFE"/>
    <w:rsid w:val="00A27FE5"/>
    <w:rsid w:val="00A300EA"/>
    <w:rsid w:val="00A30193"/>
    <w:rsid w:val="00A302D4"/>
    <w:rsid w:val="00A3030E"/>
    <w:rsid w:val="00A30385"/>
    <w:rsid w:val="00A303CC"/>
    <w:rsid w:val="00A30441"/>
    <w:rsid w:val="00A3049E"/>
    <w:rsid w:val="00A305A9"/>
    <w:rsid w:val="00A306D6"/>
    <w:rsid w:val="00A3087B"/>
    <w:rsid w:val="00A309AB"/>
    <w:rsid w:val="00A30A69"/>
    <w:rsid w:val="00A30E45"/>
    <w:rsid w:val="00A30F5D"/>
    <w:rsid w:val="00A30F8D"/>
    <w:rsid w:val="00A31211"/>
    <w:rsid w:val="00A31353"/>
    <w:rsid w:val="00A316ED"/>
    <w:rsid w:val="00A316FF"/>
    <w:rsid w:val="00A3178C"/>
    <w:rsid w:val="00A318B7"/>
    <w:rsid w:val="00A319EB"/>
    <w:rsid w:val="00A31A31"/>
    <w:rsid w:val="00A31B38"/>
    <w:rsid w:val="00A31BA5"/>
    <w:rsid w:val="00A32453"/>
    <w:rsid w:val="00A3258F"/>
    <w:rsid w:val="00A32682"/>
    <w:rsid w:val="00A326EC"/>
    <w:rsid w:val="00A3279A"/>
    <w:rsid w:val="00A32857"/>
    <w:rsid w:val="00A3289D"/>
    <w:rsid w:val="00A328A5"/>
    <w:rsid w:val="00A3293E"/>
    <w:rsid w:val="00A32C7E"/>
    <w:rsid w:val="00A32D66"/>
    <w:rsid w:val="00A32DC5"/>
    <w:rsid w:val="00A32E2E"/>
    <w:rsid w:val="00A33454"/>
    <w:rsid w:val="00A33550"/>
    <w:rsid w:val="00A335F3"/>
    <w:rsid w:val="00A3362A"/>
    <w:rsid w:val="00A338E5"/>
    <w:rsid w:val="00A33A27"/>
    <w:rsid w:val="00A33B5B"/>
    <w:rsid w:val="00A340A0"/>
    <w:rsid w:val="00A3413F"/>
    <w:rsid w:val="00A34231"/>
    <w:rsid w:val="00A34472"/>
    <w:rsid w:val="00A345C1"/>
    <w:rsid w:val="00A3467A"/>
    <w:rsid w:val="00A34684"/>
    <w:rsid w:val="00A34771"/>
    <w:rsid w:val="00A349EB"/>
    <w:rsid w:val="00A34CDE"/>
    <w:rsid w:val="00A34E41"/>
    <w:rsid w:val="00A34E4A"/>
    <w:rsid w:val="00A34FD0"/>
    <w:rsid w:val="00A35073"/>
    <w:rsid w:val="00A350DE"/>
    <w:rsid w:val="00A350ED"/>
    <w:rsid w:val="00A358F8"/>
    <w:rsid w:val="00A35B8C"/>
    <w:rsid w:val="00A35BB6"/>
    <w:rsid w:val="00A35BDC"/>
    <w:rsid w:val="00A35D48"/>
    <w:rsid w:val="00A35E3B"/>
    <w:rsid w:val="00A35EA2"/>
    <w:rsid w:val="00A360FD"/>
    <w:rsid w:val="00A3632E"/>
    <w:rsid w:val="00A36390"/>
    <w:rsid w:val="00A364F3"/>
    <w:rsid w:val="00A3678C"/>
    <w:rsid w:val="00A3690A"/>
    <w:rsid w:val="00A36A33"/>
    <w:rsid w:val="00A36ABC"/>
    <w:rsid w:val="00A36AC4"/>
    <w:rsid w:val="00A36DB0"/>
    <w:rsid w:val="00A36EFA"/>
    <w:rsid w:val="00A3726D"/>
    <w:rsid w:val="00A372A2"/>
    <w:rsid w:val="00A37309"/>
    <w:rsid w:val="00A373FA"/>
    <w:rsid w:val="00A37445"/>
    <w:rsid w:val="00A3754A"/>
    <w:rsid w:val="00A3765B"/>
    <w:rsid w:val="00A377DA"/>
    <w:rsid w:val="00A379C9"/>
    <w:rsid w:val="00A37B7F"/>
    <w:rsid w:val="00A37C1F"/>
    <w:rsid w:val="00A37D38"/>
    <w:rsid w:val="00A37E42"/>
    <w:rsid w:val="00A37F43"/>
    <w:rsid w:val="00A40068"/>
    <w:rsid w:val="00A400A8"/>
    <w:rsid w:val="00A4061A"/>
    <w:rsid w:val="00A40681"/>
    <w:rsid w:val="00A408B5"/>
    <w:rsid w:val="00A40DB2"/>
    <w:rsid w:val="00A40E59"/>
    <w:rsid w:val="00A4118C"/>
    <w:rsid w:val="00A4139C"/>
    <w:rsid w:val="00A41667"/>
    <w:rsid w:val="00A417B5"/>
    <w:rsid w:val="00A41F44"/>
    <w:rsid w:val="00A41F71"/>
    <w:rsid w:val="00A4289F"/>
    <w:rsid w:val="00A428E2"/>
    <w:rsid w:val="00A4295D"/>
    <w:rsid w:val="00A4295E"/>
    <w:rsid w:val="00A42EFB"/>
    <w:rsid w:val="00A439B6"/>
    <w:rsid w:val="00A43CEB"/>
    <w:rsid w:val="00A440B7"/>
    <w:rsid w:val="00A4419B"/>
    <w:rsid w:val="00A44849"/>
    <w:rsid w:val="00A44A30"/>
    <w:rsid w:val="00A44BA2"/>
    <w:rsid w:val="00A44EB7"/>
    <w:rsid w:val="00A45026"/>
    <w:rsid w:val="00A45062"/>
    <w:rsid w:val="00A45143"/>
    <w:rsid w:val="00A4516C"/>
    <w:rsid w:val="00A451F7"/>
    <w:rsid w:val="00A45350"/>
    <w:rsid w:val="00A454FE"/>
    <w:rsid w:val="00A45628"/>
    <w:rsid w:val="00A45704"/>
    <w:rsid w:val="00A457F2"/>
    <w:rsid w:val="00A45B99"/>
    <w:rsid w:val="00A45BE7"/>
    <w:rsid w:val="00A45C52"/>
    <w:rsid w:val="00A45F6D"/>
    <w:rsid w:val="00A45FDA"/>
    <w:rsid w:val="00A46079"/>
    <w:rsid w:val="00A4629D"/>
    <w:rsid w:val="00A46367"/>
    <w:rsid w:val="00A46531"/>
    <w:rsid w:val="00A46B82"/>
    <w:rsid w:val="00A46DC0"/>
    <w:rsid w:val="00A4707D"/>
    <w:rsid w:val="00A4708D"/>
    <w:rsid w:val="00A47215"/>
    <w:rsid w:val="00A47319"/>
    <w:rsid w:val="00A473C9"/>
    <w:rsid w:val="00A474CD"/>
    <w:rsid w:val="00A4780E"/>
    <w:rsid w:val="00A479AD"/>
    <w:rsid w:val="00A47A15"/>
    <w:rsid w:val="00A47CE5"/>
    <w:rsid w:val="00A502E3"/>
    <w:rsid w:val="00A503D8"/>
    <w:rsid w:val="00A50661"/>
    <w:rsid w:val="00A50767"/>
    <w:rsid w:val="00A508FC"/>
    <w:rsid w:val="00A50A37"/>
    <w:rsid w:val="00A50E15"/>
    <w:rsid w:val="00A50F20"/>
    <w:rsid w:val="00A51273"/>
    <w:rsid w:val="00A5146E"/>
    <w:rsid w:val="00A51500"/>
    <w:rsid w:val="00A5166D"/>
    <w:rsid w:val="00A5173B"/>
    <w:rsid w:val="00A517E4"/>
    <w:rsid w:val="00A5187D"/>
    <w:rsid w:val="00A5190F"/>
    <w:rsid w:val="00A51C7D"/>
    <w:rsid w:val="00A51EF4"/>
    <w:rsid w:val="00A51F4D"/>
    <w:rsid w:val="00A51F58"/>
    <w:rsid w:val="00A520E1"/>
    <w:rsid w:val="00A5219F"/>
    <w:rsid w:val="00A52501"/>
    <w:rsid w:val="00A52737"/>
    <w:rsid w:val="00A527A6"/>
    <w:rsid w:val="00A528B7"/>
    <w:rsid w:val="00A528DA"/>
    <w:rsid w:val="00A52918"/>
    <w:rsid w:val="00A52C8B"/>
    <w:rsid w:val="00A52EE1"/>
    <w:rsid w:val="00A53103"/>
    <w:rsid w:val="00A5355C"/>
    <w:rsid w:val="00A5359E"/>
    <w:rsid w:val="00A53617"/>
    <w:rsid w:val="00A53706"/>
    <w:rsid w:val="00A538EC"/>
    <w:rsid w:val="00A53B56"/>
    <w:rsid w:val="00A53C04"/>
    <w:rsid w:val="00A53D60"/>
    <w:rsid w:val="00A53EC8"/>
    <w:rsid w:val="00A53F36"/>
    <w:rsid w:val="00A5415D"/>
    <w:rsid w:val="00A54249"/>
    <w:rsid w:val="00A54301"/>
    <w:rsid w:val="00A54308"/>
    <w:rsid w:val="00A54382"/>
    <w:rsid w:val="00A54530"/>
    <w:rsid w:val="00A5459B"/>
    <w:rsid w:val="00A548E0"/>
    <w:rsid w:val="00A548EC"/>
    <w:rsid w:val="00A54917"/>
    <w:rsid w:val="00A54A0F"/>
    <w:rsid w:val="00A54B5A"/>
    <w:rsid w:val="00A54BC0"/>
    <w:rsid w:val="00A54E08"/>
    <w:rsid w:val="00A54EAC"/>
    <w:rsid w:val="00A55329"/>
    <w:rsid w:val="00A554C5"/>
    <w:rsid w:val="00A5575C"/>
    <w:rsid w:val="00A55760"/>
    <w:rsid w:val="00A55A51"/>
    <w:rsid w:val="00A55B8C"/>
    <w:rsid w:val="00A55B95"/>
    <w:rsid w:val="00A55E83"/>
    <w:rsid w:val="00A56383"/>
    <w:rsid w:val="00A565ED"/>
    <w:rsid w:val="00A5667A"/>
    <w:rsid w:val="00A5691D"/>
    <w:rsid w:val="00A56AC0"/>
    <w:rsid w:val="00A57253"/>
    <w:rsid w:val="00A572F2"/>
    <w:rsid w:val="00A574DC"/>
    <w:rsid w:val="00A5779F"/>
    <w:rsid w:val="00A57A83"/>
    <w:rsid w:val="00A57BA1"/>
    <w:rsid w:val="00A57D02"/>
    <w:rsid w:val="00A57E28"/>
    <w:rsid w:val="00A57F61"/>
    <w:rsid w:val="00A60023"/>
    <w:rsid w:val="00A60024"/>
    <w:rsid w:val="00A6053D"/>
    <w:rsid w:val="00A60741"/>
    <w:rsid w:val="00A60909"/>
    <w:rsid w:val="00A609E0"/>
    <w:rsid w:val="00A60C24"/>
    <w:rsid w:val="00A60D24"/>
    <w:rsid w:val="00A60D7B"/>
    <w:rsid w:val="00A61530"/>
    <w:rsid w:val="00A619B5"/>
    <w:rsid w:val="00A61B61"/>
    <w:rsid w:val="00A61F75"/>
    <w:rsid w:val="00A621B1"/>
    <w:rsid w:val="00A62236"/>
    <w:rsid w:val="00A6298D"/>
    <w:rsid w:val="00A62AA6"/>
    <w:rsid w:val="00A62D5B"/>
    <w:rsid w:val="00A63264"/>
    <w:rsid w:val="00A6341C"/>
    <w:rsid w:val="00A63539"/>
    <w:rsid w:val="00A635C6"/>
    <w:rsid w:val="00A636F8"/>
    <w:rsid w:val="00A63703"/>
    <w:rsid w:val="00A63792"/>
    <w:rsid w:val="00A6381E"/>
    <w:rsid w:val="00A63961"/>
    <w:rsid w:val="00A63CF7"/>
    <w:rsid w:val="00A63EFB"/>
    <w:rsid w:val="00A6440D"/>
    <w:rsid w:val="00A644B5"/>
    <w:rsid w:val="00A64566"/>
    <w:rsid w:val="00A645F5"/>
    <w:rsid w:val="00A64905"/>
    <w:rsid w:val="00A64A2E"/>
    <w:rsid w:val="00A64D45"/>
    <w:rsid w:val="00A64D67"/>
    <w:rsid w:val="00A64F4C"/>
    <w:rsid w:val="00A65500"/>
    <w:rsid w:val="00A6561B"/>
    <w:rsid w:val="00A656A5"/>
    <w:rsid w:val="00A656BD"/>
    <w:rsid w:val="00A658BF"/>
    <w:rsid w:val="00A65B00"/>
    <w:rsid w:val="00A65CEE"/>
    <w:rsid w:val="00A65D22"/>
    <w:rsid w:val="00A65DA8"/>
    <w:rsid w:val="00A65F0A"/>
    <w:rsid w:val="00A663B5"/>
    <w:rsid w:val="00A664A4"/>
    <w:rsid w:val="00A66876"/>
    <w:rsid w:val="00A669E8"/>
    <w:rsid w:val="00A66C33"/>
    <w:rsid w:val="00A66E1C"/>
    <w:rsid w:val="00A66E54"/>
    <w:rsid w:val="00A672E5"/>
    <w:rsid w:val="00A677D1"/>
    <w:rsid w:val="00A67A57"/>
    <w:rsid w:val="00A67D9F"/>
    <w:rsid w:val="00A67EA5"/>
    <w:rsid w:val="00A67FF2"/>
    <w:rsid w:val="00A701D1"/>
    <w:rsid w:val="00A701D8"/>
    <w:rsid w:val="00A702CC"/>
    <w:rsid w:val="00A702D1"/>
    <w:rsid w:val="00A70386"/>
    <w:rsid w:val="00A703F7"/>
    <w:rsid w:val="00A705B3"/>
    <w:rsid w:val="00A706DE"/>
    <w:rsid w:val="00A709CD"/>
    <w:rsid w:val="00A709DC"/>
    <w:rsid w:val="00A70BD8"/>
    <w:rsid w:val="00A70D21"/>
    <w:rsid w:val="00A70FA9"/>
    <w:rsid w:val="00A710F5"/>
    <w:rsid w:val="00A71202"/>
    <w:rsid w:val="00A712E8"/>
    <w:rsid w:val="00A71312"/>
    <w:rsid w:val="00A71337"/>
    <w:rsid w:val="00A714C5"/>
    <w:rsid w:val="00A715C4"/>
    <w:rsid w:val="00A716F4"/>
    <w:rsid w:val="00A71910"/>
    <w:rsid w:val="00A72063"/>
    <w:rsid w:val="00A720E9"/>
    <w:rsid w:val="00A721F0"/>
    <w:rsid w:val="00A7222D"/>
    <w:rsid w:val="00A723C2"/>
    <w:rsid w:val="00A723EB"/>
    <w:rsid w:val="00A72639"/>
    <w:rsid w:val="00A726EB"/>
    <w:rsid w:val="00A72B0B"/>
    <w:rsid w:val="00A72CBE"/>
    <w:rsid w:val="00A72DFB"/>
    <w:rsid w:val="00A72FA6"/>
    <w:rsid w:val="00A72FF1"/>
    <w:rsid w:val="00A733CE"/>
    <w:rsid w:val="00A73B74"/>
    <w:rsid w:val="00A73CC0"/>
    <w:rsid w:val="00A73D52"/>
    <w:rsid w:val="00A73E03"/>
    <w:rsid w:val="00A73E49"/>
    <w:rsid w:val="00A73F20"/>
    <w:rsid w:val="00A73FB9"/>
    <w:rsid w:val="00A7409B"/>
    <w:rsid w:val="00A7430F"/>
    <w:rsid w:val="00A74455"/>
    <w:rsid w:val="00A7481D"/>
    <w:rsid w:val="00A74867"/>
    <w:rsid w:val="00A74900"/>
    <w:rsid w:val="00A74A70"/>
    <w:rsid w:val="00A74C18"/>
    <w:rsid w:val="00A751BF"/>
    <w:rsid w:val="00A7523C"/>
    <w:rsid w:val="00A75362"/>
    <w:rsid w:val="00A753C6"/>
    <w:rsid w:val="00A7553F"/>
    <w:rsid w:val="00A75C60"/>
    <w:rsid w:val="00A75CF1"/>
    <w:rsid w:val="00A75CFE"/>
    <w:rsid w:val="00A75E92"/>
    <w:rsid w:val="00A75F2B"/>
    <w:rsid w:val="00A75F3D"/>
    <w:rsid w:val="00A7604E"/>
    <w:rsid w:val="00A76136"/>
    <w:rsid w:val="00A762B1"/>
    <w:rsid w:val="00A76531"/>
    <w:rsid w:val="00A767DD"/>
    <w:rsid w:val="00A7693F"/>
    <w:rsid w:val="00A76A68"/>
    <w:rsid w:val="00A76C6C"/>
    <w:rsid w:val="00A76C9F"/>
    <w:rsid w:val="00A76E68"/>
    <w:rsid w:val="00A76E86"/>
    <w:rsid w:val="00A770FF"/>
    <w:rsid w:val="00A77134"/>
    <w:rsid w:val="00A774A0"/>
    <w:rsid w:val="00A77588"/>
    <w:rsid w:val="00A777F1"/>
    <w:rsid w:val="00A77976"/>
    <w:rsid w:val="00A779D3"/>
    <w:rsid w:val="00A77A0C"/>
    <w:rsid w:val="00A77BBE"/>
    <w:rsid w:val="00A77E8A"/>
    <w:rsid w:val="00A77EE6"/>
    <w:rsid w:val="00A800AF"/>
    <w:rsid w:val="00A800F7"/>
    <w:rsid w:val="00A8023A"/>
    <w:rsid w:val="00A802C2"/>
    <w:rsid w:val="00A80AD5"/>
    <w:rsid w:val="00A80D10"/>
    <w:rsid w:val="00A80FB0"/>
    <w:rsid w:val="00A80FBA"/>
    <w:rsid w:val="00A810AC"/>
    <w:rsid w:val="00A81218"/>
    <w:rsid w:val="00A812AD"/>
    <w:rsid w:val="00A813F5"/>
    <w:rsid w:val="00A8158D"/>
    <w:rsid w:val="00A815F1"/>
    <w:rsid w:val="00A8163C"/>
    <w:rsid w:val="00A816C7"/>
    <w:rsid w:val="00A817B4"/>
    <w:rsid w:val="00A81CE1"/>
    <w:rsid w:val="00A81E6A"/>
    <w:rsid w:val="00A81F3D"/>
    <w:rsid w:val="00A82476"/>
    <w:rsid w:val="00A82520"/>
    <w:rsid w:val="00A82A3C"/>
    <w:rsid w:val="00A82AE0"/>
    <w:rsid w:val="00A82C91"/>
    <w:rsid w:val="00A82E45"/>
    <w:rsid w:val="00A83041"/>
    <w:rsid w:val="00A83479"/>
    <w:rsid w:val="00A83998"/>
    <w:rsid w:val="00A839FF"/>
    <w:rsid w:val="00A83B51"/>
    <w:rsid w:val="00A83D95"/>
    <w:rsid w:val="00A83DAF"/>
    <w:rsid w:val="00A83E01"/>
    <w:rsid w:val="00A842E3"/>
    <w:rsid w:val="00A845FA"/>
    <w:rsid w:val="00A849C2"/>
    <w:rsid w:val="00A84E4F"/>
    <w:rsid w:val="00A84E6E"/>
    <w:rsid w:val="00A85032"/>
    <w:rsid w:val="00A85052"/>
    <w:rsid w:val="00A852F4"/>
    <w:rsid w:val="00A854EC"/>
    <w:rsid w:val="00A8552B"/>
    <w:rsid w:val="00A85742"/>
    <w:rsid w:val="00A85767"/>
    <w:rsid w:val="00A857E3"/>
    <w:rsid w:val="00A858A9"/>
    <w:rsid w:val="00A85A5C"/>
    <w:rsid w:val="00A86159"/>
    <w:rsid w:val="00A862BC"/>
    <w:rsid w:val="00A8690F"/>
    <w:rsid w:val="00A8696A"/>
    <w:rsid w:val="00A86A4B"/>
    <w:rsid w:val="00A86AD5"/>
    <w:rsid w:val="00A86B5E"/>
    <w:rsid w:val="00A87049"/>
    <w:rsid w:val="00A87060"/>
    <w:rsid w:val="00A870E9"/>
    <w:rsid w:val="00A8721A"/>
    <w:rsid w:val="00A87353"/>
    <w:rsid w:val="00A87424"/>
    <w:rsid w:val="00A875BD"/>
    <w:rsid w:val="00A8763E"/>
    <w:rsid w:val="00A87845"/>
    <w:rsid w:val="00A878CF"/>
    <w:rsid w:val="00A87937"/>
    <w:rsid w:val="00A87C54"/>
    <w:rsid w:val="00A901C3"/>
    <w:rsid w:val="00A90218"/>
    <w:rsid w:val="00A90356"/>
    <w:rsid w:val="00A90706"/>
    <w:rsid w:val="00A90AEE"/>
    <w:rsid w:val="00A90D01"/>
    <w:rsid w:val="00A90FA3"/>
    <w:rsid w:val="00A9167A"/>
    <w:rsid w:val="00A919A7"/>
    <w:rsid w:val="00A91B34"/>
    <w:rsid w:val="00A91B59"/>
    <w:rsid w:val="00A91B6E"/>
    <w:rsid w:val="00A91C05"/>
    <w:rsid w:val="00A91CCE"/>
    <w:rsid w:val="00A91E45"/>
    <w:rsid w:val="00A921E3"/>
    <w:rsid w:val="00A92229"/>
    <w:rsid w:val="00A9227F"/>
    <w:rsid w:val="00A922F1"/>
    <w:rsid w:val="00A9261C"/>
    <w:rsid w:val="00A9268C"/>
    <w:rsid w:val="00A928BF"/>
    <w:rsid w:val="00A9295A"/>
    <w:rsid w:val="00A92D15"/>
    <w:rsid w:val="00A92DC2"/>
    <w:rsid w:val="00A92EE6"/>
    <w:rsid w:val="00A9307D"/>
    <w:rsid w:val="00A9334A"/>
    <w:rsid w:val="00A938D1"/>
    <w:rsid w:val="00A93AE5"/>
    <w:rsid w:val="00A93CA2"/>
    <w:rsid w:val="00A94043"/>
    <w:rsid w:val="00A94261"/>
    <w:rsid w:val="00A942D9"/>
    <w:rsid w:val="00A947A6"/>
    <w:rsid w:val="00A949A0"/>
    <w:rsid w:val="00A949AD"/>
    <w:rsid w:val="00A94F83"/>
    <w:rsid w:val="00A94FA5"/>
    <w:rsid w:val="00A95017"/>
    <w:rsid w:val="00A95248"/>
    <w:rsid w:val="00A952A1"/>
    <w:rsid w:val="00A952D1"/>
    <w:rsid w:val="00A95371"/>
    <w:rsid w:val="00A953F7"/>
    <w:rsid w:val="00A954E8"/>
    <w:rsid w:val="00A95AAF"/>
    <w:rsid w:val="00A95AE6"/>
    <w:rsid w:val="00A95BC1"/>
    <w:rsid w:val="00A95C3F"/>
    <w:rsid w:val="00A95CB1"/>
    <w:rsid w:val="00A95CE5"/>
    <w:rsid w:val="00A9626D"/>
    <w:rsid w:val="00A96798"/>
    <w:rsid w:val="00A96A54"/>
    <w:rsid w:val="00A96B97"/>
    <w:rsid w:val="00A96D35"/>
    <w:rsid w:val="00A96E8F"/>
    <w:rsid w:val="00A9717D"/>
    <w:rsid w:val="00A971C4"/>
    <w:rsid w:val="00A97217"/>
    <w:rsid w:val="00A972E3"/>
    <w:rsid w:val="00A973F6"/>
    <w:rsid w:val="00A9743E"/>
    <w:rsid w:val="00A9755E"/>
    <w:rsid w:val="00A9764C"/>
    <w:rsid w:val="00A97878"/>
    <w:rsid w:val="00A97A51"/>
    <w:rsid w:val="00A97E43"/>
    <w:rsid w:val="00AA0004"/>
    <w:rsid w:val="00AA0036"/>
    <w:rsid w:val="00AA0246"/>
    <w:rsid w:val="00AA0267"/>
    <w:rsid w:val="00AA03EF"/>
    <w:rsid w:val="00AA062E"/>
    <w:rsid w:val="00AA065F"/>
    <w:rsid w:val="00AA0B16"/>
    <w:rsid w:val="00AA0B90"/>
    <w:rsid w:val="00AA0C23"/>
    <w:rsid w:val="00AA0CDF"/>
    <w:rsid w:val="00AA0D58"/>
    <w:rsid w:val="00AA0F1F"/>
    <w:rsid w:val="00AA0FCD"/>
    <w:rsid w:val="00AA10E7"/>
    <w:rsid w:val="00AA12B6"/>
    <w:rsid w:val="00AA1348"/>
    <w:rsid w:val="00AA188D"/>
    <w:rsid w:val="00AA1BAE"/>
    <w:rsid w:val="00AA1BB4"/>
    <w:rsid w:val="00AA1FE1"/>
    <w:rsid w:val="00AA2509"/>
    <w:rsid w:val="00AA294B"/>
    <w:rsid w:val="00AA29F8"/>
    <w:rsid w:val="00AA2C01"/>
    <w:rsid w:val="00AA2C41"/>
    <w:rsid w:val="00AA2F19"/>
    <w:rsid w:val="00AA304C"/>
    <w:rsid w:val="00AA31D5"/>
    <w:rsid w:val="00AA34D4"/>
    <w:rsid w:val="00AA37C2"/>
    <w:rsid w:val="00AA39D1"/>
    <w:rsid w:val="00AA3CAA"/>
    <w:rsid w:val="00AA3CB9"/>
    <w:rsid w:val="00AA3CDB"/>
    <w:rsid w:val="00AA3CF0"/>
    <w:rsid w:val="00AA3E3B"/>
    <w:rsid w:val="00AA418A"/>
    <w:rsid w:val="00AA41DB"/>
    <w:rsid w:val="00AA423C"/>
    <w:rsid w:val="00AA42B6"/>
    <w:rsid w:val="00AA4341"/>
    <w:rsid w:val="00AA4360"/>
    <w:rsid w:val="00AA474A"/>
    <w:rsid w:val="00AA4AFC"/>
    <w:rsid w:val="00AA4DA4"/>
    <w:rsid w:val="00AA5267"/>
    <w:rsid w:val="00AA5440"/>
    <w:rsid w:val="00AA5513"/>
    <w:rsid w:val="00AA55FA"/>
    <w:rsid w:val="00AA5725"/>
    <w:rsid w:val="00AA580D"/>
    <w:rsid w:val="00AA59AF"/>
    <w:rsid w:val="00AA5D9E"/>
    <w:rsid w:val="00AA5E86"/>
    <w:rsid w:val="00AA5F4D"/>
    <w:rsid w:val="00AA6176"/>
    <w:rsid w:val="00AA6379"/>
    <w:rsid w:val="00AA6483"/>
    <w:rsid w:val="00AA6D36"/>
    <w:rsid w:val="00AA6E7C"/>
    <w:rsid w:val="00AA6EDD"/>
    <w:rsid w:val="00AA6F3D"/>
    <w:rsid w:val="00AA717E"/>
    <w:rsid w:val="00AA7196"/>
    <w:rsid w:val="00AA7325"/>
    <w:rsid w:val="00AA7515"/>
    <w:rsid w:val="00AA7603"/>
    <w:rsid w:val="00AA77E5"/>
    <w:rsid w:val="00AA79B8"/>
    <w:rsid w:val="00AA7B0B"/>
    <w:rsid w:val="00AA7C9A"/>
    <w:rsid w:val="00AA7E7F"/>
    <w:rsid w:val="00AA7EDA"/>
    <w:rsid w:val="00AA7F67"/>
    <w:rsid w:val="00AA7FF7"/>
    <w:rsid w:val="00AB034B"/>
    <w:rsid w:val="00AB03EE"/>
    <w:rsid w:val="00AB04AB"/>
    <w:rsid w:val="00AB07DD"/>
    <w:rsid w:val="00AB081F"/>
    <w:rsid w:val="00AB10A0"/>
    <w:rsid w:val="00AB10D9"/>
    <w:rsid w:val="00AB1107"/>
    <w:rsid w:val="00AB12BA"/>
    <w:rsid w:val="00AB192F"/>
    <w:rsid w:val="00AB1945"/>
    <w:rsid w:val="00AB1BE0"/>
    <w:rsid w:val="00AB1C2A"/>
    <w:rsid w:val="00AB1ED8"/>
    <w:rsid w:val="00AB1FE4"/>
    <w:rsid w:val="00AB209A"/>
    <w:rsid w:val="00AB2142"/>
    <w:rsid w:val="00AB2449"/>
    <w:rsid w:val="00AB2491"/>
    <w:rsid w:val="00AB2796"/>
    <w:rsid w:val="00AB2798"/>
    <w:rsid w:val="00AB2B65"/>
    <w:rsid w:val="00AB2B88"/>
    <w:rsid w:val="00AB2D56"/>
    <w:rsid w:val="00AB2DB4"/>
    <w:rsid w:val="00AB3061"/>
    <w:rsid w:val="00AB3074"/>
    <w:rsid w:val="00AB30C2"/>
    <w:rsid w:val="00AB3136"/>
    <w:rsid w:val="00AB31F4"/>
    <w:rsid w:val="00AB321D"/>
    <w:rsid w:val="00AB322C"/>
    <w:rsid w:val="00AB3363"/>
    <w:rsid w:val="00AB33E9"/>
    <w:rsid w:val="00AB341D"/>
    <w:rsid w:val="00AB37A7"/>
    <w:rsid w:val="00AB38CA"/>
    <w:rsid w:val="00AB3917"/>
    <w:rsid w:val="00AB39A0"/>
    <w:rsid w:val="00AB3AE8"/>
    <w:rsid w:val="00AB3B54"/>
    <w:rsid w:val="00AB3BA4"/>
    <w:rsid w:val="00AB3DAE"/>
    <w:rsid w:val="00AB3DD6"/>
    <w:rsid w:val="00AB42EB"/>
    <w:rsid w:val="00AB433C"/>
    <w:rsid w:val="00AB4493"/>
    <w:rsid w:val="00AB4626"/>
    <w:rsid w:val="00AB468E"/>
    <w:rsid w:val="00AB476D"/>
    <w:rsid w:val="00AB4ABD"/>
    <w:rsid w:val="00AB4B05"/>
    <w:rsid w:val="00AB4C54"/>
    <w:rsid w:val="00AB4D1B"/>
    <w:rsid w:val="00AB5507"/>
    <w:rsid w:val="00AB55B1"/>
    <w:rsid w:val="00AB565A"/>
    <w:rsid w:val="00AB5739"/>
    <w:rsid w:val="00AB5907"/>
    <w:rsid w:val="00AB5AEE"/>
    <w:rsid w:val="00AB5DEC"/>
    <w:rsid w:val="00AB623F"/>
    <w:rsid w:val="00AB6433"/>
    <w:rsid w:val="00AB6635"/>
    <w:rsid w:val="00AB66A9"/>
    <w:rsid w:val="00AB66E6"/>
    <w:rsid w:val="00AB6743"/>
    <w:rsid w:val="00AB675E"/>
    <w:rsid w:val="00AB6D19"/>
    <w:rsid w:val="00AB71DD"/>
    <w:rsid w:val="00AB73C4"/>
    <w:rsid w:val="00AB77E6"/>
    <w:rsid w:val="00AB784C"/>
    <w:rsid w:val="00AB7870"/>
    <w:rsid w:val="00AB7AD6"/>
    <w:rsid w:val="00AB7D23"/>
    <w:rsid w:val="00AC0015"/>
    <w:rsid w:val="00AC0339"/>
    <w:rsid w:val="00AC034C"/>
    <w:rsid w:val="00AC055E"/>
    <w:rsid w:val="00AC06CA"/>
    <w:rsid w:val="00AC08E3"/>
    <w:rsid w:val="00AC0B88"/>
    <w:rsid w:val="00AC0BA4"/>
    <w:rsid w:val="00AC0BB7"/>
    <w:rsid w:val="00AC0DF9"/>
    <w:rsid w:val="00AC0E79"/>
    <w:rsid w:val="00AC0F02"/>
    <w:rsid w:val="00AC1022"/>
    <w:rsid w:val="00AC16B8"/>
    <w:rsid w:val="00AC1B13"/>
    <w:rsid w:val="00AC1BA9"/>
    <w:rsid w:val="00AC1DFD"/>
    <w:rsid w:val="00AC1F81"/>
    <w:rsid w:val="00AC211D"/>
    <w:rsid w:val="00AC21C9"/>
    <w:rsid w:val="00AC238D"/>
    <w:rsid w:val="00AC23A8"/>
    <w:rsid w:val="00AC23B9"/>
    <w:rsid w:val="00AC2618"/>
    <w:rsid w:val="00AC27B9"/>
    <w:rsid w:val="00AC2990"/>
    <w:rsid w:val="00AC2B6A"/>
    <w:rsid w:val="00AC2E24"/>
    <w:rsid w:val="00AC2E49"/>
    <w:rsid w:val="00AC2EAF"/>
    <w:rsid w:val="00AC2FAB"/>
    <w:rsid w:val="00AC328A"/>
    <w:rsid w:val="00AC3346"/>
    <w:rsid w:val="00AC3973"/>
    <w:rsid w:val="00AC3BDA"/>
    <w:rsid w:val="00AC3C15"/>
    <w:rsid w:val="00AC3CA1"/>
    <w:rsid w:val="00AC3E05"/>
    <w:rsid w:val="00AC422D"/>
    <w:rsid w:val="00AC4355"/>
    <w:rsid w:val="00AC43A6"/>
    <w:rsid w:val="00AC45FC"/>
    <w:rsid w:val="00AC46E6"/>
    <w:rsid w:val="00AC4709"/>
    <w:rsid w:val="00AC4BE9"/>
    <w:rsid w:val="00AC4F55"/>
    <w:rsid w:val="00AC5061"/>
    <w:rsid w:val="00AC51DD"/>
    <w:rsid w:val="00AC52FD"/>
    <w:rsid w:val="00AC55F4"/>
    <w:rsid w:val="00AC5611"/>
    <w:rsid w:val="00AC57F8"/>
    <w:rsid w:val="00AC5C43"/>
    <w:rsid w:val="00AC5CCA"/>
    <w:rsid w:val="00AC5D62"/>
    <w:rsid w:val="00AC5FC7"/>
    <w:rsid w:val="00AC6076"/>
    <w:rsid w:val="00AC6194"/>
    <w:rsid w:val="00AC61B2"/>
    <w:rsid w:val="00AC66D3"/>
    <w:rsid w:val="00AC67FF"/>
    <w:rsid w:val="00AC69F2"/>
    <w:rsid w:val="00AC6B03"/>
    <w:rsid w:val="00AC6C0B"/>
    <w:rsid w:val="00AC6CA3"/>
    <w:rsid w:val="00AC6DF8"/>
    <w:rsid w:val="00AC6F15"/>
    <w:rsid w:val="00AC6F9F"/>
    <w:rsid w:val="00AC7384"/>
    <w:rsid w:val="00AC73DD"/>
    <w:rsid w:val="00AC7549"/>
    <w:rsid w:val="00AC7FA3"/>
    <w:rsid w:val="00AD01A9"/>
    <w:rsid w:val="00AD0963"/>
    <w:rsid w:val="00AD0993"/>
    <w:rsid w:val="00AD0B6C"/>
    <w:rsid w:val="00AD0D85"/>
    <w:rsid w:val="00AD0DEB"/>
    <w:rsid w:val="00AD1050"/>
    <w:rsid w:val="00AD105C"/>
    <w:rsid w:val="00AD10B0"/>
    <w:rsid w:val="00AD10B9"/>
    <w:rsid w:val="00AD122D"/>
    <w:rsid w:val="00AD1552"/>
    <w:rsid w:val="00AD1F17"/>
    <w:rsid w:val="00AD20B4"/>
    <w:rsid w:val="00AD2125"/>
    <w:rsid w:val="00AD28E2"/>
    <w:rsid w:val="00AD2B0D"/>
    <w:rsid w:val="00AD2B57"/>
    <w:rsid w:val="00AD326D"/>
    <w:rsid w:val="00AD36D0"/>
    <w:rsid w:val="00AD3B2C"/>
    <w:rsid w:val="00AD3EF4"/>
    <w:rsid w:val="00AD457E"/>
    <w:rsid w:val="00AD45C9"/>
    <w:rsid w:val="00AD46EA"/>
    <w:rsid w:val="00AD479E"/>
    <w:rsid w:val="00AD4CA3"/>
    <w:rsid w:val="00AD4CD2"/>
    <w:rsid w:val="00AD4D56"/>
    <w:rsid w:val="00AD4F29"/>
    <w:rsid w:val="00AD4F55"/>
    <w:rsid w:val="00AD51E4"/>
    <w:rsid w:val="00AD5201"/>
    <w:rsid w:val="00AD53CA"/>
    <w:rsid w:val="00AD553D"/>
    <w:rsid w:val="00AD55FD"/>
    <w:rsid w:val="00AD5B13"/>
    <w:rsid w:val="00AD5C51"/>
    <w:rsid w:val="00AD5E4E"/>
    <w:rsid w:val="00AD6061"/>
    <w:rsid w:val="00AD6409"/>
    <w:rsid w:val="00AD649D"/>
    <w:rsid w:val="00AD67B0"/>
    <w:rsid w:val="00AD6CA7"/>
    <w:rsid w:val="00AD6D24"/>
    <w:rsid w:val="00AD6E06"/>
    <w:rsid w:val="00AD71E0"/>
    <w:rsid w:val="00AD7490"/>
    <w:rsid w:val="00AD76B5"/>
    <w:rsid w:val="00AD77AC"/>
    <w:rsid w:val="00AD79C9"/>
    <w:rsid w:val="00AD7D03"/>
    <w:rsid w:val="00AD7DAB"/>
    <w:rsid w:val="00AE003A"/>
    <w:rsid w:val="00AE0396"/>
    <w:rsid w:val="00AE0511"/>
    <w:rsid w:val="00AE069C"/>
    <w:rsid w:val="00AE078C"/>
    <w:rsid w:val="00AE090B"/>
    <w:rsid w:val="00AE0918"/>
    <w:rsid w:val="00AE0AF4"/>
    <w:rsid w:val="00AE0B7D"/>
    <w:rsid w:val="00AE0D92"/>
    <w:rsid w:val="00AE0DF8"/>
    <w:rsid w:val="00AE0F64"/>
    <w:rsid w:val="00AE0FB3"/>
    <w:rsid w:val="00AE0FC6"/>
    <w:rsid w:val="00AE10E8"/>
    <w:rsid w:val="00AE11AC"/>
    <w:rsid w:val="00AE1211"/>
    <w:rsid w:val="00AE1259"/>
    <w:rsid w:val="00AE12EF"/>
    <w:rsid w:val="00AE1859"/>
    <w:rsid w:val="00AE1910"/>
    <w:rsid w:val="00AE19FA"/>
    <w:rsid w:val="00AE1C90"/>
    <w:rsid w:val="00AE234F"/>
    <w:rsid w:val="00AE24A0"/>
    <w:rsid w:val="00AE2C09"/>
    <w:rsid w:val="00AE2D59"/>
    <w:rsid w:val="00AE2FB1"/>
    <w:rsid w:val="00AE3053"/>
    <w:rsid w:val="00AE318B"/>
    <w:rsid w:val="00AE31E6"/>
    <w:rsid w:val="00AE32DE"/>
    <w:rsid w:val="00AE3301"/>
    <w:rsid w:val="00AE33F5"/>
    <w:rsid w:val="00AE3640"/>
    <w:rsid w:val="00AE3966"/>
    <w:rsid w:val="00AE39BC"/>
    <w:rsid w:val="00AE4070"/>
    <w:rsid w:val="00AE441A"/>
    <w:rsid w:val="00AE450C"/>
    <w:rsid w:val="00AE47A9"/>
    <w:rsid w:val="00AE4997"/>
    <w:rsid w:val="00AE4A98"/>
    <w:rsid w:val="00AE4B70"/>
    <w:rsid w:val="00AE4B96"/>
    <w:rsid w:val="00AE4C2D"/>
    <w:rsid w:val="00AE4C75"/>
    <w:rsid w:val="00AE4D0B"/>
    <w:rsid w:val="00AE4EA3"/>
    <w:rsid w:val="00AE5013"/>
    <w:rsid w:val="00AE5156"/>
    <w:rsid w:val="00AE526F"/>
    <w:rsid w:val="00AE5541"/>
    <w:rsid w:val="00AE55D6"/>
    <w:rsid w:val="00AE5E85"/>
    <w:rsid w:val="00AE5EB1"/>
    <w:rsid w:val="00AE6000"/>
    <w:rsid w:val="00AE602C"/>
    <w:rsid w:val="00AE6349"/>
    <w:rsid w:val="00AE69DC"/>
    <w:rsid w:val="00AE6A68"/>
    <w:rsid w:val="00AE6A8A"/>
    <w:rsid w:val="00AE6BDD"/>
    <w:rsid w:val="00AE6BF0"/>
    <w:rsid w:val="00AE6BFB"/>
    <w:rsid w:val="00AE6EA5"/>
    <w:rsid w:val="00AE71C3"/>
    <w:rsid w:val="00AE71DD"/>
    <w:rsid w:val="00AE783D"/>
    <w:rsid w:val="00AE7CAA"/>
    <w:rsid w:val="00AE7CBB"/>
    <w:rsid w:val="00AE7E4E"/>
    <w:rsid w:val="00AE7E74"/>
    <w:rsid w:val="00AE7ED3"/>
    <w:rsid w:val="00AE7F17"/>
    <w:rsid w:val="00AE7F97"/>
    <w:rsid w:val="00AF000B"/>
    <w:rsid w:val="00AF00B3"/>
    <w:rsid w:val="00AF0245"/>
    <w:rsid w:val="00AF0256"/>
    <w:rsid w:val="00AF025C"/>
    <w:rsid w:val="00AF02FC"/>
    <w:rsid w:val="00AF04CD"/>
    <w:rsid w:val="00AF05B0"/>
    <w:rsid w:val="00AF062D"/>
    <w:rsid w:val="00AF0719"/>
    <w:rsid w:val="00AF07C0"/>
    <w:rsid w:val="00AF099B"/>
    <w:rsid w:val="00AF09D6"/>
    <w:rsid w:val="00AF0CEF"/>
    <w:rsid w:val="00AF0D22"/>
    <w:rsid w:val="00AF107B"/>
    <w:rsid w:val="00AF108F"/>
    <w:rsid w:val="00AF122E"/>
    <w:rsid w:val="00AF153E"/>
    <w:rsid w:val="00AF1585"/>
    <w:rsid w:val="00AF1647"/>
    <w:rsid w:val="00AF1871"/>
    <w:rsid w:val="00AF189F"/>
    <w:rsid w:val="00AF196E"/>
    <w:rsid w:val="00AF1F4B"/>
    <w:rsid w:val="00AF20D8"/>
    <w:rsid w:val="00AF23E7"/>
    <w:rsid w:val="00AF26FE"/>
    <w:rsid w:val="00AF2764"/>
    <w:rsid w:val="00AF2833"/>
    <w:rsid w:val="00AF28A0"/>
    <w:rsid w:val="00AF2949"/>
    <w:rsid w:val="00AF29A0"/>
    <w:rsid w:val="00AF29DE"/>
    <w:rsid w:val="00AF316A"/>
    <w:rsid w:val="00AF3886"/>
    <w:rsid w:val="00AF3979"/>
    <w:rsid w:val="00AF39BC"/>
    <w:rsid w:val="00AF3BC3"/>
    <w:rsid w:val="00AF3C42"/>
    <w:rsid w:val="00AF43D7"/>
    <w:rsid w:val="00AF44C1"/>
    <w:rsid w:val="00AF4B0E"/>
    <w:rsid w:val="00AF4D61"/>
    <w:rsid w:val="00AF4D7E"/>
    <w:rsid w:val="00AF509D"/>
    <w:rsid w:val="00AF5169"/>
    <w:rsid w:val="00AF5223"/>
    <w:rsid w:val="00AF529A"/>
    <w:rsid w:val="00AF52B8"/>
    <w:rsid w:val="00AF5742"/>
    <w:rsid w:val="00AF5748"/>
    <w:rsid w:val="00AF5786"/>
    <w:rsid w:val="00AF58F6"/>
    <w:rsid w:val="00AF5ACE"/>
    <w:rsid w:val="00AF5C62"/>
    <w:rsid w:val="00AF5C95"/>
    <w:rsid w:val="00AF5D2C"/>
    <w:rsid w:val="00AF5F7F"/>
    <w:rsid w:val="00AF609D"/>
    <w:rsid w:val="00AF6597"/>
    <w:rsid w:val="00AF66AC"/>
    <w:rsid w:val="00AF66FA"/>
    <w:rsid w:val="00AF6734"/>
    <w:rsid w:val="00AF67F5"/>
    <w:rsid w:val="00AF685A"/>
    <w:rsid w:val="00AF68C1"/>
    <w:rsid w:val="00AF69A5"/>
    <w:rsid w:val="00AF69CE"/>
    <w:rsid w:val="00AF6B65"/>
    <w:rsid w:val="00AF6D03"/>
    <w:rsid w:val="00AF6D63"/>
    <w:rsid w:val="00AF7078"/>
    <w:rsid w:val="00AF71EA"/>
    <w:rsid w:val="00AF74AC"/>
    <w:rsid w:val="00AF74B2"/>
    <w:rsid w:val="00AF79CF"/>
    <w:rsid w:val="00AF7D25"/>
    <w:rsid w:val="00AF7DFA"/>
    <w:rsid w:val="00B00079"/>
    <w:rsid w:val="00B00233"/>
    <w:rsid w:val="00B002F3"/>
    <w:rsid w:val="00B0031A"/>
    <w:rsid w:val="00B003EF"/>
    <w:rsid w:val="00B00569"/>
    <w:rsid w:val="00B0071C"/>
    <w:rsid w:val="00B007EA"/>
    <w:rsid w:val="00B00B57"/>
    <w:rsid w:val="00B01032"/>
    <w:rsid w:val="00B0108F"/>
    <w:rsid w:val="00B01161"/>
    <w:rsid w:val="00B01243"/>
    <w:rsid w:val="00B01396"/>
    <w:rsid w:val="00B015D0"/>
    <w:rsid w:val="00B01719"/>
    <w:rsid w:val="00B02230"/>
    <w:rsid w:val="00B022AF"/>
    <w:rsid w:val="00B023B8"/>
    <w:rsid w:val="00B023FF"/>
    <w:rsid w:val="00B0245C"/>
    <w:rsid w:val="00B02624"/>
    <w:rsid w:val="00B026B3"/>
    <w:rsid w:val="00B026EF"/>
    <w:rsid w:val="00B027CE"/>
    <w:rsid w:val="00B028C8"/>
    <w:rsid w:val="00B02A39"/>
    <w:rsid w:val="00B02B0B"/>
    <w:rsid w:val="00B02E99"/>
    <w:rsid w:val="00B02F00"/>
    <w:rsid w:val="00B02F9E"/>
    <w:rsid w:val="00B02FF7"/>
    <w:rsid w:val="00B0347D"/>
    <w:rsid w:val="00B03500"/>
    <w:rsid w:val="00B03519"/>
    <w:rsid w:val="00B0360F"/>
    <w:rsid w:val="00B0371B"/>
    <w:rsid w:val="00B037FA"/>
    <w:rsid w:val="00B039CB"/>
    <w:rsid w:val="00B03B70"/>
    <w:rsid w:val="00B03E45"/>
    <w:rsid w:val="00B0411D"/>
    <w:rsid w:val="00B047A8"/>
    <w:rsid w:val="00B048DA"/>
    <w:rsid w:val="00B049B4"/>
    <w:rsid w:val="00B04AE8"/>
    <w:rsid w:val="00B04AEB"/>
    <w:rsid w:val="00B04CC0"/>
    <w:rsid w:val="00B04F3F"/>
    <w:rsid w:val="00B0501E"/>
    <w:rsid w:val="00B0511E"/>
    <w:rsid w:val="00B05395"/>
    <w:rsid w:val="00B05597"/>
    <w:rsid w:val="00B057AD"/>
    <w:rsid w:val="00B06001"/>
    <w:rsid w:val="00B062CD"/>
    <w:rsid w:val="00B0639E"/>
    <w:rsid w:val="00B065F0"/>
    <w:rsid w:val="00B066E2"/>
    <w:rsid w:val="00B067EB"/>
    <w:rsid w:val="00B06942"/>
    <w:rsid w:val="00B06AA1"/>
    <w:rsid w:val="00B06AE8"/>
    <w:rsid w:val="00B06E39"/>
    <w:rsid w:val="00B07238"/>
    <w:rsid w:val="00B0724E"/>
    <w:rsid w:val="00B07275"/>
    <w:rsid w:val="00B072A5"/>
    <w:rsid w:val="00B072CE"/>
    <w:rsid w:val="00B07404"/>
    <w:rsid w:val="00B07863"/>
    <w:rsid w:val="00B0794D"/>
    <w:rsid w:val="00B079E5"/>
    <w:rsid w:val="00B07AB1"/>
    <w:rsid w:val="00B07C35"/>
    <w:rsid w:val="00B07CBE"/>
    <w:rsid w:val="00B07E09"/>
    <w:rsid w:val="00B07E0D"/>
    <w:rsid w:val="00B1001C"/>
    <w:rsid w:val="00B100EA"/>
    <w:rsid w:val="00B10149"/>
    <w:rsid w:val="00B104E7"/>
    <w:rsid w:val="00B10599"/>
    <w:rsid w:val="00B1084B"/>
    <w:rsid w:val="00B10AE1"/>
    <w:rsid w:val="00B10DD2"/>
    <w:rsid w:val="00B10E9B"/>
    <w:rsid w:val="00B1105F"/>
    <w:rsid w:val="00B11479"/>
    <w:rsid w:val="00B114BF"/>
    <w:rsid w:val="00B1153B"/>
    <w:rsid w:val="00B1165C"/>
    <w:rsid w:val="00B116A7"/>
    <w:rsid w:val="00B116DC"/>
    <w:rsid w:val="00B11856"/>
    <w:rsid w:val="00B1196D"/>
    <w:rsid w:val="00B11AEB"/>
    <w:rsid w:val="00B11C38"/>
    <w:rsid w:val="00B11CCD"/>
    <w:rsid w:val="00B11DC5"/>
    <w:rsid w:val="00B125F6"/>
    <w:rsid w:val="00B12838"/>
    <w:rsid w:val="00B1284A"/>
    <w:rsid w:val="00B12C2F"/>
    <w:rsid w:val="00B12C89"/>
    <w:rsid w:val="00B12D23"/>
    <w:rsid w:val="00B12E27"/>
    <w:rsid w:val="00B12E36"/>
    <w:rsid w:val="00B12EAA"/>
    <w:rsid w:val="00B13171"/>
    <w:rsid w:val="00B132F8"/>
    <w:rsid w:val="00B13356"/>
    <w:rsid w:val="00B13568"/>
    <w:rsid w:val="00B135AF"/>
    <w:rsid w:val="00B1361E"/>
    <w:rsid w:val="00B13659"/>
    <w:rsid w:val="00B137AA"/>
    <w:rsid w:val="00B139EB"/>
    <w:rsid w:val="00B139F7"/>
    <w:rsid w:val="00B13AC7"/>
    <w:rsid w:val="00B13B7C"/>
    <w:rsid w:val="00B140F0"/>
    <w:rsid w:val="00B1451E"/>
    <w:rsid w:val="00B146F9"/>
    <w:rsid w:val="00B1480B"/>
    <w:rsid w:val="00B148F7"/>
    <w:rsid w:val="00B14BD0"/>
    <w:rsid w:val="00B14DA1"/>
    <w:rsid w:val="00B14E13"/>
    <w:rsid w:val="00B150B3"/>
    <w:rsid w:val="00B1519D"/>
    <w:rsid w:val="00B151C7"/>
    <w:rsid w:val="00B1541E"/>
    <w:rsid w:val="00B15783"/>
    <w:rsid w:val="00B157E2"/>
    <w:rsid w:val="00B15997"/>
    <w:rsid w:val="00B15B28"/>
    <w:rsid w:val="00B15DE5"/>
    <w:rsid w:val="00B15ED4"/>
    <w:rsid w:val="00B160CA"/>
    <w:rsid w:val="00B1612D"/>
    <w:rsid w:val="00B161C6"/>
    <w:rsid w:val="00B161EB"/>
    <w:rsid w:val="00B162C1"/>
    <w:rsid w:val="00B1645A"/>
    <w:rsid w:val="00B164D1"/>
    <w:rsid w:val="00B16820"/>
    <w:rsid w:val="00B16AD7"/>
    <w:rsid w:val="00B16C0E"/>
    <w:rsid w:val="00B16EDC"/>
    <w:rsid w:val="00B170A9"/>
    <w:rsid w:val="00B171B2"/>
    <w:rsid w:val="00B1783D"/>
    <w:rsid w:val="00B17846"/>
    <w:rsid w:val="00B17851"/>
    <w:rsid w:val="00B1796C"/>
    <w:rsid w:val="00B179B5"/>
    <w:rsid w:val="00B179E0"/>
    <w:rsid w:val="00B17A91"/>
    <w:rsid w:val="00B17ADE"/>
    <w:rsid w:val="00B17B0E"/>
    <w:rsid w:val="00B17B1C"/>
    <w:rsid w:val="00B17C3F"/>
    <w:rsid w:val="00B17EDA"/>
    <w:rsid w:val="00B17F05"/>
    <w:rsid w:val="00B17FCC"/>
    <w:rsid w:val="00B17FFC"/>
    <w:rsid w:val="00B200B4"/>
    <w:rsid w:val="00B20132"/>
    <w:rsid w:val="00B201C7"/>
    <w:rsid w:val="00B203AF"/>
    <w:rsid w:val="00B20483"/>
    <w:rsid w:val="00B2079E"/>
    <w:rsid w:val="00B207E2"/>
    <w:rsid w:val="00B20887"/>
    <w:rsid w:val="00B20A1C"/>
    <w:rsid w:val="00B20A8A"/>
    <w:rsid w:val="00B20BE2"/>
    <w:rsid w:val="00B20D1A"/>
    <w:rsid w:val="00B20EC0"/>
    <w:rsid w:val="00B20F77"/>
    <w:rsid w:val="00B21374"/>
    <w:rsid w:val="00B214BF"/>
    <w:rsid w:val="00B21727"/>
    <w:rsid w:val="00B21994"/>
    <w:rsid w:val="00B219C9"/>
    <w:rsid w:val="00B21A44"/>
    <w:rsid w:val="00B21B04"/>
    <w:rsid w:val="00B21B29"/>
    <w:rsid w:val="00B21DFB"/>
    <w:rsid w:val="00B21E83"/>
    <w:rsid w:val="00B22105"/>
    <w:rsid w:val="00B22170"/>
    <w:rsid w:val="00B221BC"/>
    <w:rsid w:val="00B22300"/>
    <w:rsid w:val="00B22484"/>
    <w:rsid w:val="00B22504"/>
    <w:rsid w:val="00B228E4"/>
    <w:rsid w:val="00B232A7"/>
    <w:rsid w:val="00B232FF"/>
    <w:rsid w:val="00B23302"/>
    <w:rsid w:val="00B2341D"/>
    <w:rsid w:val="00B234A0"/>
    <w:rsid w:val="00B23563"/>
    <w:rsid w:val="00B236C1"/>
    <w:rsid w:val="00B239AD"/>
    <w:rsid w:val="00B23A10"/>
    <w:rsid w:val="00B23A20"/>
    <w:rsid w:val="00B23A50"/>
    <w:rsid w:val="00B23AE3"/>
    <w:rsid w:val="00B24330"/>
    <w:rsid w:val="00B24689"/>
    <w:rsid w:val="00B246F3"/>
    <w:rsid w:val="00B246FD"/>
    <w:rsid w:val="00B24B40"/>
    <w:rsid w:val="00B24B92"/>
    <w:rsid w:val="00B24BAC"/>
    <w:rsid w:val="00B24E14"/>
    <w:rsid w:val="00B24E4F"/>
    <w:rsid w:val="00B2500A"/>
    <w:rsid w:val="00B2531B"/>
    <w:rsid w:val="00B2537A"/>
    <w:rsid w:val="00B255D2"/>
    <w:rsid w:val="00B256BE"/>
    <w:rsid w:val="00B25BAD"/>
    <w:rsid w:val="00B25E22"/>
    <w:rsid w:val="00B25EB8"/>
    <w:rsid w:val="00B262A1"/>
    <w:rsid w:val="00B263E3"/>
    <w:rsid w:val="00B26558"/>
    <w:rsid w:val="00B266B7"/>
    <w:rsid w:val="00B26751"/>
    <w:rsid w:val="00B26813"/>
    <w:rsid w:val="00B26904"/>
    <w:rsid w:val="00B26947"/>
    <w:rsid w:val="00B26DDD"/>
    <w:rsid w:val="00B27234"/>
    <w:rsid w:val="00B275B4"/>
    <w:rsid w:val="00B275DC"/>
    <w:rsid w:val="00B27EA4"/>
    <w:rsid w:val="00B27EEB"/>
    <w:rsid w:val="00B306D2"/>
    <w:rsid w:val="00B30893"/>
    <w:rsid w:val="00B308E4"/>
    <w:rsid w:val="00B30A6B"/>
    <w:rsid w:val="00B30D07"/>
    <w:rsid w:val="00B3106C"/>
    <w:rsid w:val="00B31119"/>
    <w:rsid w:val="00B316D4"/>
    <w:rsid w:val="00B318A6"/>
    <w:rsid w:val="00B31B1B"/>
    <w:rsid w:val="00B31CE6"/>
    <w:rsid w:val="00B31DC6"/>
    <w:rsid w:val="00B31F20"/>
    <w:rsid w:val="00B32159"/>
    <w:rsid w:val="00B3229D"/>
    <w:rsid w:val="00B325E9"/>
    <w:rsid w:val="00B32658"/>
    <w:rsid w:val="00B326AB"/>
    <w:rsid w:val="00B3282A"/>
    <w:rsid w:val="00B329F9"/>
    <w:rsid w:val="00B32C83"/>
    <w:rsid w:val="00B32FDB"/>
    <w:rsid w:val="00B33004"/>
    <w:rsid w:val="00B33273"/>
    <w:rsid w:val="00B3339D"/>
    <w:rsid w:val="00B335C6"/>
    <w:rsid w:val="00B33786"/>
    <w:rsid w:val="00B337A5"/>
    <w:rsid w:val="00B33863"/>
    <w:rsid w:val="00B33933"/>
    <w:rsid w:val="00B33DD3"/>
    <w:rsid w:val="00B33DD6"/>
    <w:rsid w:val="00B34022"/>
    <w:rsid w:val="00B343A0"/>
    <w:rsid w:val="00B34517"/>
    <w:rsid w:val="00B3451F"/>
    <w:rsid w:val="00B3483C"/>
    <w:rsid w:val="00B34CDC"/>
    <w:rsid w:val="00B3507F"/>
    <w:rsid w:val="00B35191"/>
    <w:rsid w:val="00B354EF"/>
    <w:rsid w:val="00B35ACD"/>
    <w:rsid w:val="00B35E4F"/>
    <w:rsid w:val="00B35E55"/>
    <w:rsid w:val="00B35E9C"/>
    <w:rsid w:val="00B35F04"/>
    <w:rsid w:val="00B35F1A"/>
    <w:rsid w:val="00B36935"/>
    <w:rsid w:val="00B36B5C"/>
    <w:rsid w:val="00B36CCE"/>
    <w:rsid w:val="00B37033"/>
    <w:rsid w:val="00B378EF"/>
    <w:rsid w:val="00B37AA6"/>
    <w:rsid w:val="00B37C3C"/>
    <w:rsid w:val="00B37CD5"/>
    <w:rsid w:val="00B37DDF"/>
    <w:rsid w:val="00B37F5B"/>
    <w:rsid w:val="00B4015C"/>
    <w:rsid w:val="00B40296"/>
    <w:rsid w:val="00B4059A"/>
    <w:rsid w:val="00B4066A"/>
    <w:rsid w:val="00B407E4"/>
    <w:rsid w:val="00B40B27"/>
    <w:rsid w:val="00B40BE8"/>
    <w:rsid w:val="00B40EEE"/>
    <w:rsid w:val="00B4101B"/>
    <w:rsid w:val="00B4115F"/>
    <w:rsid w:val="00B4141B"/>
    <w:rsid w:val="00B41508"/>
    <w:rsid w:val="00B41A9D"/>
    <w:rsid w:val="00B41AA7"/>
    <w:rsid w:val="00B41B9D"/>
    <w:rsid w:val="00B41F21"/>
    <w:rsid w:val="00B4205A"/>
    <w:rsid w:val="00B427EA"/>
    <w:rsid w:val="00B42B45"/>
    <w:rsid w:val="00B42CA5"/>
    <w:rsid w:val="00B42F4A"/>
    <w:rsid w:val="00B42FD8"/>
    <w:rsid w:val="00B430F1"/>
    <w:rsid w:val="00B432E7"/>
    <w:rsid w:val="00B43648"/>
    <w:rsid w:val="00B4364C"/>
    <w:rsid w:val="00B436EA"/>
    <w:rsid w:val="00B4370A"/>
    <w:rsid w:val="00B439C4"/>
    <w:rsid w:val="00B43E2F"/>
    <w:rsid w:val="00B43F09"/>
    <w:rsid w:val="00B43F85"/>
    <w:rsid w:val="00B43FC8"/>
    <w:rsid w:val="00B444B7"/>
    <w:rsid w:val="00B4489A"/>
    <w:rsid w:val="00B44B5E"/>
    <w:rsid w:val="00B44E39"/>
    <w:rsid w:val="00B44EEE"/>
    <w:rsid w:val="00B451B7"/>
    <w:rsid w:val="00B4546E"/>
    <w:rsid w:val="00B461A9"/>
    <w:rsid w:val="00B463C1"/>
    <w:rsid w:val="00B4657C"/>
    <w:rsid w:val="00B465CC"/>
    <w:rsid w:val="00B46A73"/>
    <w:rsid w:val="00B46AF6"/>
    <w:rsid w:val="00B46B91"/>
    <w:rsid w:val="00B46CB7"/>
    <w:rsid w:val="00B46E5A"/>
    <w:rsid w:val="00B46EA7"/>
    <w:rsid w:val="00B47156"/>
    <w:rsid w:val="00B473F3"/>
    <w:rsid w:val="00B47614"/>
    <w:rsid w:val="00B4768E"/>
    <w:rsid w:val="00B47705"/>
    <w:rsid w:val="00B47C38"/>
    <w:rsid w:val="00B50160"/>
    <w:rsid w:val="00B50625"/>
    <w:rsid w:val="00B5072B"/>
    <w:rsid w:val="00B50784"/>
    <w:rsid w:val="00B50B84"/>
    <w:rsid w:val="00B50C16"/>
    <w:rsid w:val="00B50C4C"/>
    <w:rsid w:val="00B50CA6"/>
    <w:rsid w:val="00B50CB0"/>
    <w:rsid w:val="00B50E1A"/>
    <w:rsid w:val="00B50EA1"/>
    <w:rsid w:val="00B50F00"/>
    <w:rsid w:val="00B50F5E"/>
    <w:rsid w:val="00B50FE9"/>
    <w:rsid w:val="00B51036"/>
    <w:rsid w:val="00B510BA"/>
    <w:rsid w:val="00B51273"/>
    <w:rsid w:val="00B513D8"/>
    <w:rsid w:val="00B5192A"/>
    <w:rsid w:val="00B51AB3"/>
    <w:rsid w:val="00B51E3C"/>
    <w:rsid w:val="00B52004"/>
    <w:rsid w:val="00B52064"/>
    <w:rsid w:val="00B522C5"/>
    <w:rsid w:val="00B52330"/>
    <w:rsid w:val="00B523D2"/>
    <w:rsid w:val="00B5270B"/>
    <w:rsid w:val="00B52932"/>
    <w:rsid w:val="00B52945"/>
    <w:rsid w:val="00B52CC2"/>
    <w:rsid w:val="00B52CD1"/>
    <w:rsid w:val="00B52CF5"/>
    <w:rsid w:val="00B52EE3"/>
    <w:rsid w:val="00B5314F"/>
    <w:rsid w:val="00B5318B"/>
    <w:rsid w:val="00B531FC"/>
    <w:rsid w:val="00B5336D"/>
    <w:rsid w:val="00B537B5"/>
    <w:rsid w:val="00B53B43"/>
    <w:rsid w:val="00B53C63"/>
    <w:rsid w:val="00B53C9C"/>
    <w:rsid w:val="00B53E22"/>
    <w:rsid w:val="00B53E38"/>
    <w:rsid w:val="00B53E58"/>
    <w:rsid w:val="00B540B9"/>
    <w:rsid w:val="00B540E5"/>
    <w:rsid w:val="00B543A2"/>
    <w:rsid w:val="00B54461"/>
    <w:rsid w:val="00B54A24"/>
    <w:rsid w:val="00B54ABE"/>
    <w:rsid w:val="00B54B91"/>
    <w:rsid w:val="00B54D05"/>
    <w:rsid w:val="00B54DDA"/>
    <w:rsid w:val="00B54DE4"/>
    <w:rsid w:val="00B54E18"/>
    <w:rsid w:val="00B55086"/>
    <w:rsid w:val="00B55412"/>
    <w:rsid w:val="00B55505"/>
    <w:rsid w:val="00B5556C"/>
    <w:rsid w:val="00B5558B"/>
    <w:rsid w:val="00B55611"/>
    <w:rsid w:val="00B557BE"/>
    <w:rsid w:val="00B559A1"/>
    <w:rsid w:val="00B55D38"/>
    <w:rsid w:val="00B55EF1"/>
    <w:rsid w:val="00B55F47"/>
    <w:rsid w:val="00B560CC"/>
    <w:rsid w:val="00B5615B"/>
    <w:rsid w:val="00B562FA"/>
    <w:rsid w:val="00B5644B"/>
    <w:rsid w:val="00B56535"/>
    <w:rsid w:val="00B5655E"/>
    <w:rsid w:val="00B56570"/>
    <w:rsid w:val="00B565C6"/>
    <w:rsid w:val="00B56B1F"/>
    <w:rsid w:val="00B570CC"/>
    <w:rsid w:val="00B5724F"/>
    <w:rsid w:val="00B572C2"/>
    <w:rsid w:val="00B5731C"/>
    <w:rsid w:val="00B5772D"/>
    <w:rsid w:val="00B5780C"/>
    <w:rsid w:val="00B578A4"/>
    <w:rsid w:val="00B57A35"/>
    <w:rsid w:val="00B57BC7"/>
    <w:rsid w:val="00B57E09"/>
    <w:rsid w:val="00B57E16"/>
    <w:rsid w:val="00B57F85"/>
    <w:rsid w:val="00B600BA"/>
    <w:rsid w:val="00B6012D"/>
    <w:rsid w:val="00B6039A"/>
    <w:rsid w:val="00B605E4"/>
    <w:rsid w:val="00B60823"/>
    <w:rsid w:val="00B60A2D"/>
    <w:rsid w:val="00B60A63"/>
    <w:rsid w:val="00B60A83"/>
    <w:rsid w:val="00B60C5C"/>
    <w:rsid w:val="00B60CB6"/>
    <w:rsid w:val="00B60EC4"/>
    <w:rsid w:val="00B60FA9"/>
    <w:rsid w:val="00B61343"/>
    <w:rsid w:val="00B61377"/>
    <w:rsid w:val="00B613EB"/>
    <w:rsid w:val="00B61571"/>
    <w:rsid w:val="00B61669"/>
    <w:rsid w:val="00B61700"/>
    <w:rsid w:val="00B6177E"/>
    <w:rsid w:val="00B61BBE"/>
    <w:rsid w:val="00B620B9"/>
    <w:rsid w:val="00B6216B"/>
    <w:rsid w:val="00B62616"/>
    <w:rsid w:val="00B62762"/>
    <w:rsid w:val="00B6298D"/>
    <w:rsid w:val="00B62BD5"/>
    <w:rsid w:val="00B62CD1"/>
    <w:rsid w:val="00B62CE6"/>
    <w:rsid w:val="00B63054"/>
    <w:rsid w:val="00B630A2"/>
    <w:rsid w:val="00B630B8"/>
    <w:rsid w:val="00B6317E"/>
    <w:rsid w:val="00B63248"/>
    <w:rsid w:val="00B632CA"/>
    <w:rsid w:val="00B6333A"/>
    <w:rsid w:val="00B633EE"/>
    <w:rsid w:val="00B633FA"/>
    <w:rsid w:val="00B634A4"/>
    <w:rsid w:val="00B6369A"/>
    <w:rsid w:val="00B636B3"/>
    <w:rsid w:val="00B6398E"/>
    <w:rsid w:val="00B639C2"/>
    <w:rsid w:val="00B639D9"/>
    <w:rsid w:val="00B63A74"/>
    <w:rsid w:val="00B63B8E"/>
    <w:rsid w:val="00B63C4E"/>
    <w:rsid w:val="00B63D86"/>
    <w:rsid w:val="00B63F75"/>
    <w:rsid w:val="00B6418B"/>
    <w:rsid w:val="00B64503"/>
    <w:rsid w:val="00B646D1"/>
    <w:rsid w:val="00B64D87"/>
    <w:rsid w:val="00B64E8F"/>
    <w:rsid w:val="00B64FF7"/>
    <w:rsid w:val="00B6502D"/>
    <w:rsid w:val="00B65042"/>
    <w:rsid w:val="00B650AA"/>
    <w:rsid w:val="00B652E2"/>
    <w:rsid w:val="00B6535C"/>
    <w:rsid w:val="00B65522"/>
    <w:rsid w:val="00B65533"/>
    <w:rsid w:val="00B65632"/>
    <w:rsid w:val="00B65715"/>
    <w:rsid w:val="00B6572C"/>
    <w:rsid w:val="00B65E8B"/>
    <w:rsid w:val="00B660B4"/>
    <w:rsid w:val="00B6647B"/>
    <w:rsid w:val="00B66882"/>
    <w:rsid w:val="00B66ACA"/>
    <w:rsid w:val="00B66C9A"/>
    <w:rsid w:val="00B66D5B"/>
    <w:rsid w:val="00B66D7C"/>
    <w:rsid w:val="00B66F8E"/>
    <w:rsid w:val="00B6710A"/>
    <w:rsid w:val="00B67270"/>
    <w:rsid w:val="00B672CD"/>
    <w:rsid w:val="00B67946"/>
    <w:rsid w:val="00B67A01"/>
    <w:rsid w:val="00B67A3B"/>
    <w:rsid w:val="00B67E63"/>
    <w:rsid w:val="00B67EFE"/>
    <w:rsid w:val="00B7012F"/>
    <w:rsid w:val="00B70292"/>
    <w:rsid w:val="00B703DF"/>
    <w:rsid w:val="00B70611"/>
    <w:rsid w:val="00B70897"/>
    <w:rsid w:val="00B70978"/>
    <w:rsid w:val="00B709D8"/>
    <w:rsid w:val="00B70AF8"/>
    <w:rsid w:val="00B70CFF"/>
    <w:rsid w:val="00B70E17"/>
    <w:rsid w:val="00B70F9B"/>
    <w:rsid w:val="00B71102"/>
    <w:rsid w:val="00B71120"/>
    <w:rsid w:val="00B711FB"/>
    <w:rsid w:val="00B71236"/>
    <w:rsid w:val="00B71368"/>
    <w:rsid w:val="00B713EB"/>
    <w:rsid w:val="00B7153E"/>
    <w:rsid w:val="00B71578"/>
    <w:rsid w:val="00B71A7B"/>
    <w:rsid w:val="00B71C86"/>
    <w:rsid w:val="00B71D03"/>
    <w:rsid w:val="00B72057"/>
    <w:rsid w:val="00B72272"/>
    <w:rsid w:val="00B722E3"/>
    <w:rsid w:val="00B7243C"/>
    <w:rsid w:val="00B729ED"/>
    <w:rsid w:val="00B72D5A"/>
    <w:rsid w:val="00B73029"/>
    <w:rsid w:val="00B73042"/>
    <w:rsid w:val="00B7309B"/>
    <w:rsid w:val="00B733C4"/>
    <w:rsid w:val="00B734C4"/>
    <w:rsid w:val="00B73733"/>
    <w:rsid w:val="00B73898"/>
    <w:rsid w:val="00B7397A"/>
    <w:rsid w:val="00B73C11"/>
    <w:rsid w:val="00B73D28"/>
    <w:rsid w:val="00B73DB2"/>
    <w:rsid w:val="00B73E17"/>
    <w:rsid w:val="00B73FB0"/>
    <w:rsid w:val="00B743B2"/>
    <w:rsid w:val="00B74526"/>
    <w:rsid w:val="00B747A7"/>
    <w:rsid w:val="00B748A5"/>
    <w:rsid w:val="00B74A00"/>
    <w:rsid w:val="00B74BF3"/>
    <w:rsid w:val="00B74D01"/>
    <w:rsid w:val="00B74D7E"/>
    <w:rsid w:val="00B74E8A"/>
    <w:rsid w:val="00B7505B"/>
    <w:rsid w:val="00B75112"/>
    <w:rsid w:val="00B75313"/>
    <w:rsid w:val="00B75399"/>
    <w:rsid w:val="00B7593E"/>
    <w:rsid w:val="00B75A08"/>
    <w:rsid w:val="00B75B71"/>
    <w:rsid w:val="00B75BB5"/>
    <w:rsid w:val="00B75C99"/>
    <w:rsid w:val="00B75F6E"/>
    <w:rsid w:val="00B75FD3"/>
    <w:rsid w:val="00B76049"/>
    <w:rsid w:val="00B7658B"/>
    <w:rsid w:val="00B76A73"/>
    <w:rsid w:val="00B76B47"/>
    <w:rsid w:val="00B76B7F"/>
    <w:rsid w:val="00B76EDD"/>
    <w:rsid w:val="00B76F6D"/>
    <w:rsid w:val="00B76F87"/>
    <w:rsid w:val="00B77120"/>
    <w:rsid w:val="00B77409"/>
    <w:rsid w:val="00B77565"/>
    <w:rsid w:val="00B77567"/>
    <w:rsid w:val="00B7759C"/>
    <w:rsid w:val="00B775CB"/>
    <w:rsid w:val="00B7760C"/>
    <w:rsid w:val="00B77636"/>
    <w:rsid w:val="00B776C0"/>
    <w:rsid w:val="00B77829"/>
    <w:rsid w:val="00B77944"/>
    <w:rsid w:val="00B779A0"/>
    <w:rsid w:val="00B77A41"/>
    <w:rsid w:val="00B77ACF"/>
    <w:rsid w:val="00B77D6C"/>
    <w:rsid w:val="00B77DAE"/>
    <w:rsid w:val="00B77DF2"/>
    <w:rsid w:val="00B80088"/>
    <w:rsid w:val="00B802CB"/>
    <w:rsid w:val="00B8083C"/>
    <w:rsid w:val="00B80893"/>
    <w:rsid w:val="00B80AC6"/>
    <w:rsid w:val="00B80BF6"/>
    <w:rsid w:val="00B80E57"/>
    <w:rsid w:val="00B80F53"/>
    <w:rsid w:val="00B81152"/>
    <w:rsid w:val="00B814BF"/>
    <w:rsid w:val="00B817A1"/>
    <w:rsid w:val="00B8195D"/>
    <w:rsid w:val="00B81FC3"/>
    <w:rsid w:val="00B82018"/>
    <w:rsid w:val="00B8201C"/>
    <w:rsid w:val="00B82129"/>
    <w:rsid w:val="00B8215A"/>
    <w:rsid w:val="00B821D5"/>
    <w:rsid w:val="00B8229E"/>
    <w:rsid w:val="00B8246B"/>
    <w:rsid w:val="00B8281C"/>
    <w:rsid w:val="00B82857"/>
    <w:rsid w:val="00B828C8"/>
    <w:rsid w:val="00B82B92"/>
    <w:rsid w:val="00B830C5"/>
    <w:rsid w:val="00B830E2"/>
    <w:rsid w:val="00B8310E"/>
    <w:rsid w:val="00B8311F"/>
    <w:rsid w:val="00B83154"/>
    <w:rsid w:val="00B83389"/>
    <w:rsid w:val="00B833A4"/>
    <w:rsid w:val="00B833F0"/>
    <w:rsid w:val="00B83550"/>
    <w:rsid w:val="00B835BA"/>
    <w:rsid w:val="00B835C3"/>
    <w:rsid w:val="00B83603"/>
    <w:rsid w:val="00B83829"/>
    <w:rsid w:val="00B83857"/>
    <w:rsid w:val="00B83869"/>
    <w:rsid w:val="00B839DA"/>
    <w:rsid w:val="00B83A54"/>
    <w:rsid w:val="00B83D46"/>
    <w:rsid w:val="00B83DA6"/>
    <w:rsid w:val="00B83DB1"/>
    <w:rsid w:val="00B83F52"/>
    <w:rsid w:val="00B84160"/>
    <w:rsid w:val="00B84200"/>
    <w:rsid w:val="00B84371"/>
    <w:rsid w:val="00B845A0"/>
    <w:rsid w:val="00B847A3"/>
    <w:rsid w:val="00B84922"/>
    <w:rsid w:val="00B8497F"/>
    <w:rsid w:val="00B84A04"/>
    <w:rsid w:val="00B84A9F"/>
    <w:rsid w:val="00B84BD0"/>
    <w:rsid w:val="00B85030"/>
    <w:rsid w:val="00B8551B"/>
    <w:rsid w:val="00B85536"/>
    <w:rsid w:val="00B85672"/>
    <w:rsid w:val="00B85685"/>
    <w:rsid w:val="00B8573C"/>
    <w:rsid w:val="00B85AB4"/>
    <w:rsid w:val="00B85B0B"/>
    <w:rsid w:val="00B860FD"/>
    <w:rsid w:val="00B863D6"/>
    <w:rsid w:val="00B864EF"/>
    <w:rsid w:val="00B86537"/>
    <w:rsid w:val="00B865CE"/>
    <w:rsid w:val="00B868EB"/>
    <w:rsid w:val="00B86BD8"/>
    <w:rsid w:val="00B86BF5"/>
    <w:rsid w:val="00B86DC5"/>
    <w:rsid w:val="00B86EB6"/>
    <w:rsid w:val="00B870DF"/>
    <w:rsid w:val="00B8783C"/>
    <w:rsid w:val="00B87860"/>
    <w:rsid w:val="00B8797E"/>
    <w:rsid w:val="00B879BC"/>
    <w:rsid w:val="00B87BD7"/>
    <w:rsid w:val="00B87D02"/>
    <w:rsid w:val="00B87ED0"/>
    <w:rsid w:val="00B9023A"/>
    <w:rsid w:val="00B90441"/>
    <w:rsid w:val="00B90531"/>
    <w:rsid w:val="00B906CE"/>
    <w:rsid w:val="00B90705"/>
    <w:rsid w:val="00B907CF"/>
    <w:rsid w:val="00B907F3"/>
    <w:rsid w:val="00B90D9F"/>
    <w:rsid w:val="00B911F7"/>
    <w:rsid w:val="00B913AE"/>
    <w:rsid w:val="00B916A6"/>
    <w:rsid w:val="00B91AE0"/>
    <w:rsid w:val="00B91D6B"/>
    <w:rsid w:val="00B91DB5"/>
    <w:rsid w:val="00B91E54"/>
    <w:rsid w:val="00B920B9"/>
    <w:rsid w:val="00B9210B"/>
    <w:rsid w:val="00B92133"/>
    <w:rsid w:val="00B92446"/>
    <w:rsid w:val="00B927EE"/>
    <w:rsid w:val="00B92C5A"/>
    <w:rsid w:val="00B92C66"/>
    <w:rsid w:val="00B92D3F"/>
    <w:rsid w:val="00B92D46"/>
    <w:rsid w:val="00B93061"/>
    <w:rsid w:val="00B93139"/>
    <w:rsid w:val="00B931BF"/>
    <w:rsid w:val="00B93348"/>
    <w:rsid w:val="00B93439"/>
    <w:rsid w:val="00B93722"/>
    <w:rsid w:val="00B93782"/>
    <w:rsid w:val="00B937EE"/>
    <w:rsid w:val="00B938C3"/>
    <w:rsid w:val="00B939B3"/>
    <w:rsid w:val="00B93A65"/>
    <w:rsid w:val="00B93BAF"/>
    <w:rsid w:val="00B93D4F"/>
    <w:rsid w:val="00B93DAF"/>
    <w:rsid w:val="00B93ED0"/>
    <w:rsid w:val="00B93F74"/>
    <w:rsid w:val="00B9481A"/>
    <w:rsid w:val="00B94BF2"/>
    <w:rsid w:val="00B94C3D"/>
    <w:rsid w:val="00B94E40"/>
    <w:rsid w:val="00B94E4F"/>
    <w:rsid w:val="00B9505E"/>
    <w:rsid w:val="00B956BC"/>
    <w:rsid w:val="00B956EF"/>
    <w:rsid w:val="00B95713"/>
    <w:rsid w:val="00B95964"/>
    <w:rsid w:val="00B95EAF"/>
    <w:rsid w:val="00B95EF8"/>
    <w:rsid w:val="00B9609F"/>
    <w:rsid w:val="00B960B1"/>
    <w:rsid w:val="00B96168"/>
    <w:rsid w:val="00B963A8"/>
    <w:rsid w:val="00B963DB"/>
    <w:rsid w:val="00B96405"/>
    <w:rsid w:val="00B9641A"/>
    <w:rsid w:val="00B9641B"/>
    <w:rsid w:val="00B965D5"/>
    <w:rsid w:val="00B96636"/>
    <w:rsid w:val="00B96716"/>
    <w:rsid w:val="00B968D5"/>
    <w:rsid w:val="00B96C52"/>
    <w:rsid w:val="00B96D45"/>
    <w:rsid w:val="00B96F14"/>
    <w:rsid w:val="00B970EA"/>
    <w:rsid w:val="00B97104"/>
    <w:rsid w:val="00B971D5"/>
    <w:rsid w:val="00B97264"/>
    <w:rsid w:val="00B9728D"/>
    <w:rsid w:val="00B97513"/>
    <w:rsid w:val="00B97703"/>
    <w:rsid w:val="00B97AA7"/>
    <w:rsid w:val="00B97E27"/>
    <w:rsid w:val="00B97F33"/>
    <w:rsid w:val="00B97F51"/>
    <w:rsid w:val="00BA01F8"/>
    <w:rsid w:val="00BA02EB"/>
    <w:rsid w:val="00BA0347"/>
    <w:rsid w:val="00BA042B"/>
    <w:rsid w:val="00BA0541"/>
    <w:rsid w:val="00BA0553"/>
    <w:rsid w:val="00BA075D"/>
    <w:rsid w:val="00BA0915"/>
    <w:rsid w:val="00BA0A1D"/>
    <w:rsid w:val="00BA0A32"/>
    <w:rsid w:val="00BA0A87"/>
    <w:rsid w:val="00BA0BCC"/>
    <w:rsid w:val="00BA0E3C"/>
    <w:rsid w:val="00BA0F0F"/>
    <w:rsid w:val="00BA0FF8"/>
    <w:rsid w:val="00BA1011"/>
    <w:rsid w:val="00BA101E"/>
    <w:rsid w:val="00BA117C"/>
    <w:rsid w:val="00BA174F"/>
    <w:rsid w:val="00BA1932"/>
    <w:rsid w:val="00BA19E0"/>
    <w:rsid w:val="00BA1ADC"/>
    <w:rsid w:val="00BA1B97"/>
    <w:rsid w:val="00BA1CB6"/>
    <w:rsid w:val="00BA1EAB"/>
    <w:rsid w:val="00BA243B"/>
    <w:rsid w:val="00BA2579"/>
    <w:rsid w:val="00BA297D"/>
    <w:rsid w:val="00BA299C"/>
    <w:rsid w:val="00BA2D26"/>
    <w:rsid w:val="00BA2E21"/>
    <w:rsid w:val="00BA2F2E"/>
    <w:rsid w:val="00BA3130"/>
    <w:rsid w:val="00BA3279"/>
    <w:rsid w:val="00BA33B3"/>
    <w:rsid w:val="00BA3539"/>
    <w:rsid w:val="00BA3710"/>
    <w:rsid w:val="00BA37AE"/>
    <w:rsid w:val="00BA38C4"/>
    <w:rsid w:val="00BA3A05"/>
    <w:rsid w:val="00BA3A8D"/>
    <w:rsid w:val="00BA3A8E"/>
    <w:rsid w:val="00BA3C7F"/>
    <w:rsid w:val="00BA3D72"/>
    <w:rsid w:val="00BA3DED"/>
    <w:rsid w:val="00BA3EAA"/>
    <w:rsid w:val="00BA4078"/>
    <w:rsid w:val="00BA42A9"/>
    <w:rsid w:val="00BA435E"/>
    <w:rsid w:val="00BA48BE"/>
    <w:rsid w:val="00BA4C48"/>
    <w:rsid w:val="00BA4DF6"/>
    <w:rsid w:val="00BA4EFE"/>
    <w:rsid w:val="00BA50BC"/>
    <w:rsid w:val="00BA52E9"/>
    <w:rsid w:val="00BA555E"/>
    <w:rsid w:val="00BA594F"/>
    <w:rsid w:val="00BA5958"/>
    <w:rsid w:val="00BA5C1A"/>
    <w:rsid w:val="00BA5EAC"/>
    <w:rsid w:val="00BA5F7F"/>
    <w:rsid w:val="00BA6084"/>
    <w:rsid w:val="00BA614B"/>
    <w:rsid w:val="00BA61E4"/>
    <w:rsid w:val="00BA637F"/>
    <w:rsid w:val="00BA659D"/>
    <w:rsid w:val="00BA65AB"/>
    <w:rsid w:val="00BA66D2"/>
    <w:rsid w:val="00BA685A"/>
    <w:rsid w:val="00BA686A"/>
    <w:rsid w:val="00BA6911"/>
    <w:rsid w:val="00BA6BF0"/>
    <w:rsid w:val="00BA6D77"/>
    <w:rsid w:val="00BA6E65"/>
    <w:rsid w:val="00BA6F0E"/>
    <w:rsid w:val="00BA6F4D"/>
    <w:rsid w:val="00BA701D"/>
    <w:rsid w:val="00BA7027"/>
    <w:rsid w:val="00BA706F"/>
    <w:rsid w:val="00BA760B"/>
    <w:rsid w:val="00BA768D"/>
    <w:rsid w:val="00BA775B"/>
    <w:rsid w:val="00BA77C8"/>
    <w:rsid w:val="00BA7D30"/>
    <w:rsid w:val="00BA7E9D"/>
    <w:rsid w:val="00BA7EFF"/>
    <w:rsid w:val="00BB0038"/>
    <w:rsid w:val="00BB021C"/>
    <w:rsid w:val="00BB0232"/>
    <w:rsid w:val="00BB025D"/>
    <w:rsid w:val="00BB0B4C"/>
    <w:rsid w:val="00BB13B6"/>
    <w:rsid w:val="00BB146D"/>
    <w:rsid w:val="00BB14FD"/>
    <w:rsid w:val="00BB15BD"/>
    <w:rsid w:val="00BB162C"/>
    <w:rsid w:val="00BB174D"/>
    <w:rsid w:val="00BB1A97"/>
    <w:rsid w:val="00BB1CDA"/>
    <w:rsid w:val="00BB1CE4"/>
    <w:rsid w:val="00BB1D7F"/>
    <w:rsid w:val="00BB1F4A"/>
    <w:rsid w:val="00BB2335"/>
    <w:rsid w:val="00BB262C"/>
    <w:rsid w:val="00BB27FF"/>
    <w:rsid w:val="00BB2811"/>
    <w:rsid w:val="00BB2AF9"/>
    <w:rsid w:val="00BB2BA2"/>
    <w:rsid w:val="00BB2D9F"/>
    <w:rsid w:val="00BB3039"/>
    <w:rsid w:val="00BB3167"/>
    <w:rsid w:val="00BB33DA"/>
    <w:rsid w:val="00BB3684"/>
    <w:rsid w:val="00BB37AF"/>
    <w:rsid w:val="00BB3BE4"/>
    <w:rsid w:val="00BB3D13"/>
    <w:rsid w:val="00BB3F7F"/>
    <w:rsid w:val="00BB3FD4"/>
    <w:rsid w:val="00BB4010"/>
    <w:rsid w:val="00BB405D"/>
    <w:rsid w:val="00BB4421"/>
    <w:rsid w:val="00BB444A"/>
    <w:rsid w:val="00BB4500"/>
    <w:rsid w:val="00BB461F"/>
    <w:rsid w:val="00BB46FA"/>
    <w:rsid w:val="00BB476A"/>
    <w:rsid w:val="00BB48B2"/>
    <w:rsid w:val="00BB491B"/>
    <w:rsid w:val="00BB4ADA"/>
    <w:rsid w:val="00BB51C3"/>
    <w:rsid w:val="00BB52C0"/>
    <w:rsid w:val="00BB5988"/>
    <w:rsid w:val="00BB5B2C"/>
    <w:rsid w:val="00BB5DBB"/>
    <w:rsid w:val="00BB5DFB"/>
    <w:rsid w:val="00BB5E92"/>
    <w:rsid w:val="00BB5F47"/>
    <w:rsid w:val="00BB6786"/>
    <w:rsid w:val="00BB684F"/>
    <w:rsid w:val="00BB6B75"/>
    <w:rsid w:val="00BB6D69"/>
    <w:rsid w:val="00BB6E3D"/>
    <w:rsid w:val="00BB729E"/>
    <w:rsid w:val="00BB7383"/>
    <w:rsid w:val="00BB7512"/>
    <w:rsid w:val="00BB764C"/>
    <w:rsid w:val="00BB7650"/>
    <w:rsid w:val="00BB7669"/>
    <w:rsid w:val="00BB7831"/>
    <w:rsid w:val="00BB78DB"/>
    <w:rsid w:val="00BB79E4"/>
    <w:rsid w:val="00BB7A60"/>
    <w:rsid w:val="00BB7B40"/>
    <w:rsid w:val="00BB7D26"/>
    <w:rsid w:val="00BB7D2F"/>
    <w:rsid w:val="00BB7E7E"/>
    <w:rsid w:val="00BB7EFE"/>
    <w:rsid w:val="00BC01B1"/>
    <w:rsid w:val="00BC028B"/>
    <w:rsid w:val="00BC04C8"/>
    <w:rsid w:val="00BC0597"/>
    <w:rsid w:val="00BC0902"/>
    <w:rsid w:val="00BC0EBD"/>
    <w:rsid w:val="00BC0ED9"/>
    <w:rsid w:val="00BC13FD"/>
    <w:rsid w:val="00BC15C0"/>
    <w:rsid w:val="00BC172C"/>
    <w:rsid w:val="00BC1819"/>
    <w:rsid w:val="00BC18F8"/>
    <w:rsid w:val="00BC1904"/>
    <w:rsid w:val="00BC196F"/>
    <w:rsid w:val="00BC19F1"/>
    <w:rsid w:val="00BC1BC6"/>
    <w:rsid w:val="00BC1C66"/>
    <w:rsid w:val="00BC2523"/>
    <w:rsid w:val="00BC27D6"/>
    <w:rsid w:val="00BC28A8"/>
    <w:rsid w:val="00BC2946"/>
    <w:rsid w:val="00BC2C4B"/>
    <w:rsid w:val="00BC35CD"/>
    <w:rsid w:val="00BC3903"/>
    <w:rsid w:val="00BC3A7C"/>
    <w:rsid w:val="00BC3AD6"/>
    <w:rsid w:val="00BC3C69"/>
    <w:rsid w:val="00BC3CB8"/>
    <w:rsid w:val="00BC3F8F"/>
    <w:rsid w:val="00BC4036"/>
    <w:rsid w:val="00BC406D"/>
    <w:rsid w:val="00BC40A9"/>
    <w:rsid w:val="00BC415C"/>
    <w:rsid w:val="00BC415E"/>
    <w:rsid w:val="00BC423F"/>
    <w:rsid w:val="00BC4504"/>
    <w:rsid w:val="00BC4547"/>
    <w:rsid w:val="00BC45CC"/>
    <w:rsid w:val="00BC4604"/>
    <w:rsid w:val="00BC4766"/>
    <w:rsid w:val="00BC4A76"/>
    <w:rsid w:val="00BC4E1E"/>
    <w:rsid w:val="00BC4FE1"/>
    <w:rsid w:val="00BC50CF"/>
    <w:rsid w:val="00BC515F"/>
    <w:rsid w:val="00BC5211"/>
    <w:rsid w:val="00BC5339"/>
    <w:rsid w:val="00BC53E1"/>
    <w:rsid w:val="00BC5458"/>
    <w:rsid w:val="00BC54B9"/>
    <w:rsid w:val="00BC599D"/>
    <w:rsid w:val="00BC59D7"/>
    <w:rsid w:val="00BC5B7F"/>
    <w:rsid w:val="00BC5C5B"/>
    <w:rsid w:val="00BC5E8F"/>
    <w:rsid w:val="00BC5F9B"/>
    <w:rsid w:val="00BC61E3"/>
    <w:rsid w:val="00BC64B8"/>
    <w:rsid w:val="00BC6601"/>
    <w:rsid w:val="00BC680B"/>
    <w:rsid w:val="00BC6C84"/>
    <w:rsid w:val="00BC6CE1"/>
    <w:rsid w:val="00BC6CEB"/>
    <w:rsid w:val="00BC6CF5"/>
    <w:rsid w:val="00BC6D67"/>
    <w:rsid w:val="00BC703F"/>
    <w:rsid w:val="00BC73B0"/>
    <w:rsid w:val="00BC73F0"/>
    <w:rsid w:val="00BC7402"/>
    <w:rsid w:val="00BC7520"/>
    <w:rsid w:val="00BC75CF"/>
    <w:rsid w:val="00BC7639"/>
    <w:rsid w:val="00BC789E"/>
    <w:rsid w:val="00BC7A98"/>
    <w:rsid w:val="00BC7AF8"/>
    <w:rsid w:val="00BC7BB2"/>
    <w:rsid w:val="00BD025B"/>
    <w:rsid w:val="00BD02FD"/>
    <w:rsid w:val="00BD04CA"/>
    <w:rsid w:val="00BD0A20"/>
    <w:rsid w:val="00BD0A3F"/>
    <w:rsid w:val="00BD0A9B"/>
    <w:rsid w:val="00BD0E52"/>
    <w:rsid w:val="00BD0E74"/>
    <w:rsid w:val="00BD0F65"/>
    <w:rsid w:val="00BD0FC9"/>
    <w:rsid w:val="00BD1368"/>
    <w:rsid w:val="00BD14CC"/>
    <w:rsid w:val="00BD14F5"/>
    <w:rsid w:val="00BD1729"/>
    <w:rsid w:val="00BD195D"/>
    <w:rsid w:val="00BD19D9"/>
    <w:rsid w:val="00BD1A00"/>
    <w:rsid w:val="00BD1A14"/>
    <w:rsid w:val="00BD1D69"/>
    <w:rsid w:val="00BD1E0F"/>
    <w:rsid w:val="00BD1EE7"/>
    <w:rsid w:val="00BD1F7C"/>
    <w:rsid w:val="00BD1F98"/>
    <w:rsid w:val="00BD23F9"/>
    <w:rsid w:val="00BD2417"/>
    <w:rsid w:val="00BD2451"/>
    <w:rsid w:val="00BD248A"/>
    <w:rsid w:val="00BD2775"/>
    <w:rsid w:val="00BD27D2"/>
    <w:rsid w:val="00BD288B"/>
    <w:rsid w:val="00BD2A4F"/>
    <w:rsid w:val="00BD2C22"/>
    <w:rsid w:val="00BD329D"/>
    <w:rsid w:val="00BD32AA"/>
    <w:rsid w:val="00BD3357"/>
    <w:rsid w:val="00BD37AC"/>
    <w:rsid w:val="00BD3930"/>
    <w:rsid w:val="00BD3D82"/>
    <w:rsid w:val="00BD41F9"/>
    <w:rsid w:val="00BD4216"/>
    <w:rsid w:val="00BD4324"/>
    <w:rsid w:val="00BD5093"/>
    <w:rsid w:val="00BD50C5"/>
    <w:rsid w:val="00BD54C5"/>
    <w:rsid w:val="00BD563E"/>
    <w:rsid w:val="00BD56CE"/>
    <w:rsid w:val="00BD57F3"/>
    <w:rsid w:val="00BD5919"/>
    <w:rsid w:val="00BD5993"/>
    <w:rsid w:val="00BD5E0E"/>
    <w:rsid w:val="00BD5E7F"/>
    <w:rsid w:val="00BD6036"/>
    <w:rsid w:val="00BD6053"/>
    <w:rsid w:val="00BD6542"/>
    <w:rsid w:val="00BD66E7"/>
    <w:rsid w:val="00BD692E"/>
    <w:rsid w:val="00BD710E"/>
    <w:rsid w:val="00BD78E4"/>
    <w:rsid w:val="00BD7C41"/>
    <w:rsid w:val="00BD7F3D"/>
    <w:rsid w:val="00BD7F5F"/>
    <w:rsid w:val="00BD7FC3"/>
    <w:rsid w:val="00BE015E"/>
    <w:rsid w:val="00BE0319"/>
    <w:rsid w:val="00BE071D"/>
    <w:rsid w:val="00BE0CAE"/>
    <w:rsid w:val="00BE1530"/>
    <w:rsid w:val="00BE195D"/>
    <w:rsid w:val="00BE1960"/>
    <w:rsid w:val="00BE1A38"/>
    <w:rsid w:val="00BE1B08"/>
    <w:rsid w:val="00BE1F31"/>
    <w:rsid w:val="00BE1F32"/>
    <w:rsid w:val="00BE246E"/>
    <w:rsid w:val="00BE2A6A"/>
    <w:rsid w:val="00BE2B49"/>
    <w:rsid w:val="00BE2DC2"/>
    <w:rsid w:val="00BE2E77"/>
    <w:rsid w:val="00BE3061"/>
    <w:rsid w:val="00BE32EB"/>
    <w:rsid w:val="00BE33E9"/>
    <w:rsid w:val="00BE33EF"/>
    <w:rsid w:val="00BE343A"/>
    <w:rsid w:val="00BE34FA"/>
    <w:rsid w:val="00BE3F0D"/>
    <w:rsid w:val="00BE3F1D"/>
    <w:rsid w:val="00BE4266"/>
    <w:rsid w:val="00BE4513"/>
    <w:rsid w:val="00BE46AE"/>
    <w:rsid w:val="00BE4822"/>
    <w:rsid w:val="00BE4DA9"/>
    <w:rsid w:val="00BE4EBB"/>
    <w:rsid w:val="00BE4F45"/>
    <w:rsid w:val="00BE5202"/>
    <w:rsid w:val="00BE52B4"/>
    <w:rsid w:val="00BE52D0"/>
    <w:rsid w:val="00BE54C6"/>
    <w:rsid w:val="00BE57C9"/>
    <w:rsid w:val="00BE589E"/>
    <w:rsid w:val="00BE5D10"/>
    <w:rsid w:val="00BE5E24"/>
    <w:rsid w:val="00BE5EDF"/>
    <w:rsid w:val="00BE5FE5"/>
    <w:rsid w:val="00BE63B2"/>
    <w:rsid w:val="00BE65A3"/>
    <w:rsid w:val="00BE65E0"/>
    <w:rsid w:val="00BE6724"/>
    <w:rsid w:val="00BE6A04"/>
    <w:rsid w:val="00BE6DC1"/>
    <w:rsid w:val="00BE7451"/>
    <w:rsid w:val="00BE74AB"/>
    <w:rsid w:val="00BE74AE"/>
    <w:rsid w:val="00BE75BD"/>
    <w:rsid w:val="00BE7909"/>
    <w:rsid w:val="00BE7990"/>
    <w:rsid w:val="00BE7D6D"/>
    <w:rsid w:val="00BE7EBB"/>
    <w:rsid w:val="00BE7F04"/>
    <w:rsid w:val="00BF0106"/>
    <w:rsid w:val="00BF0119"/>
    <w:rsid w:val="00BF019A"/>
    <w:rsid w:val="00BF044B"/>
    <w:rsid w:val="00BF08D0"/>
    <w:rsid w:val="00BF08DB"/>
    <w:rsid w:val="00BF09B6"/>
    <w:rsid w:val="00BF0A51"/>
    <w:rsid w:val="00BF0B41"/>
    <w:rsid w:val="00BF0C58"/>
    <w:rsid w:val="00BF0DFB"/>
    <w:rsid w:val="00BF0F6F"/>
    <w:rsid w:val="00BF104E"/>
    <w:rsid w:val="00BF1136"/>
    <w:rsid w:val="00BF1548"/>
    <w:rsid w:val="00BF1615"/>
    <w:rsid w:val="00BF17F7"/>
    <w:rsid w:val="00BF18D8"/>
    <w:rsid w:val="00BF1B6B"/>
    <w:rsid w:val="00BF1E02"/>
    <w:rsid w:val="00BF1F50"/>
    <w:rsid w:val="00BF2227"/>
    <w:rsid w:val="00BF22F7"/>
    <w:rsid w:val="00BF24CD"/>
    <w:rsid w:val="00BF26FF"/>
    <w:rsid w:val="00BF28EF"/>
    <w:rsid w:val="00BF292D"/>
    <w:rsid w:val="00BF30F5"/>
    <w:rsid w:val="00BF361A"/>
    <w:rsid w:val="00BF36F3"/>
    <w:rsid w:val="00BF39F1"/>
    <w:rsid w:val="00BF3A7C"/>
    <w:rsid w:val="00BF3B38"/>
    <w:rsid w:val="00BF3B66"/>
    <w:rsid w:val="00BF3DE9"/>
    <w:rsid w:val="00BF428F"/>
    <w:rsid w:val="00BF42D1"/>
    <w:rsid w:val="00BF464A"/>
    <w:rsid w:val="00BF4AC9"/>
    <w:rsid w:val="00BF4B34"/>
    <w:rsid w:val="00BF4C32"/>
    <w:rsid w:val="00BF4C69"/>
    <w:rsid w:val="00BF4CC5"/>
    <w:rsid w:val="00BF4F43"/>
    <w:rsid w:val="00BF4F84"/>
    <w:rsid w:val="00BF5026"/>
    <w:rsid w:val="00BF5257"/>
    <w:rsid w:val="00BF52C3"/>
    <w:rsid w:val="00BF552F"/>
    <w:rsid w:val="00BF56C8"/>
    <w:rsid w:val="00BF57CB"/>
    <w:rsid w:val="00BF5849"/>
    <w:rsid w:val="00BF584C"/>
    <w:rsid w:val="00BF59F4"/>
    <w:rsid w:val="00BF5A1E"/>
    <w:rsid w:val="00BF5F3E"/>
    <w:rsid w:val="00BF615D"/>
    <w:rsid w:val="00BF6D67"/>
    <w:rsid w:val="00BF6F1E"/>
    <w:rsid w:val="00BF71E9"/>
    <w:rsid w:val="00BF725A"/>
    <w:rsid w:val="00BF73E3"/>
    <w:rsid w:val="00BF7591"/>
    <w:rsid w:val="00BF76FB"/>
    <w:rsid w:val="00BF7A8D"/>
    <w:rsid w:val="00BF7BE1"/>
    <w:rsid w:val="00C000D4"/>
    <w:rsid w:val="00C002AE"/>
    <w:rsid w:val="00C0034A"/>
    <w:rsid w:val="00C0058B"/>
    <w:rsid w:val="00C005DA"/>
    <w:rsid w:val="00C008A9"/>
    <w:rsid w:val="00C008B1"/>
    <w:rsid w:val="00C00A9E"/>
    <w:rsid w:val="00C00B33"/>
    <w:rsid w:val="00C00E20"/>
    <w:rsid w:val="00C00E22"/>
    <w:rsid w:val="00C01087"/>
    <w:rsid w:val="00C012CB"/>
    <w:rsid w:val="00C01347"/>
    <w:rsid w:val="00C0138A"/>
    <w:rsid w:val="00C0144C"/>
    <w:rsid w:val="00C014F3"/>
    <w:rsid w:val="00C018D4"/>
    <w:rsid w:val="00C019FE"/>
    <w:rsid w:val="00C01CED"/>
    <w:rsid w:val="00C01D39"/>
    <w:rsid w:val="00C01F24"/>
    <w:rsid w:val="00C01F5D"/>
    <w:rsid w:val="00C027F3"/>
    <w:rsid w:val="00C02877"/>
    <w:rsid w:val="00C02902"/>
    <w:rsid w:val="00C02A84"/>
    <w:rsid w:val="00C02C66"/>
    <w:rsid w:val="00C02C6A"/>
    <w:rsid w:val="00C02C90"/>
    <w:rsid w:val="00C02E6F"/>
    <w:rsid w:val="00C02F23"/>
    <w:rsid w:val="00C03169"/>
    <w:rsid w:val="00C03301"/>
    <w:rsid w:val="00C03532"/>
    <w:rsid w:val="00C035ED"/>
    <w:rsid w:val="00C036A8"/>
    <w:rsid w:val="00C0375E"/>
    <w:rsid w:val="00C03FC0"/>
    <w:rsid w:val="00C04404"/>
    <w:rsid w:val="00C048C7"/>
    <w:rsid w:val="00C04BC2"/>
    <w:rsid w:val="00C04CB0"/>
    <w:rsid w:val="00C05000"/>
    <w:rsid w:val="00C05102"/>
    <w:rsid w:val="00C055C1"/>
    <w:rsid w:val="00C0577C"/>
    <w:rsid w:val="00C05849"/>
    <w:rsid w:val="00C0588B"/>
    <w:rsid w:val="00C05AE1"/>
    <w:rsid w:val="00C05DA0"/>
    <w:rsid w:val="00C05EA0"/>
    <w:rsid w:val="00C0605D"/>
    <w:rsid w:val="00C0669D"/>
    <w:rsid w:val="00C06938"/>
    <w:rsid w:val="00C06A51"/>
    <w:rsid w:val="00C06AA8"/>
    <w:rsid w:val="00C06BDE"/>
    <w:rsid w:val="00C06DDE"/>
    <w:rsid w:val="00C06FE7"/>
    <w:rsid w:val="00C075C5"/>
    <w:rsid w:val="00C07605"/>
    <w:rsid w:val="00C077AC"/>
    <w:rsid w:val="00C07857"/>
    <w:rsid w:val="00C07FB0"/>
    <w:rsid w:val="00C10044"/>
    <w:rsid w:val="00C100D6"/>
    <w:rsid w:val="00C1048F"/>
    <w:rsid w:val="00C1085B"/>
    <w:rsid w:val="00C10865"/>
    <w:rsid w:val="00C108B1"/>
    <w:rsid w:val="00C109D5"/>
    <w:rsid w:val="00C109EF"/>
    <w:rsid w:val="00C10C7E"/>
    <w:rsid w:val="00C10CBD"/>
    <w:rsid w:val="00C10CD8"/>
    <w:rsid w:val="00C10D8F"/>
    <w:rsid w:val="00C10E23"/>
    <w:rsid w:val="00C10FEC"/>
    <w:rsid w:val="00C110CA"/>
    <w:rsid w:val="00C111D8"/>
    <w:rsid w:val="00C11224"/>
    <w:rsid w:val="00C112DF"/>
    <w:rsid w:val="00C113CC"/>
    <w:rsid w:val="00C1145E"/>
    <w:rsid w:val="00C114CF"/>
    <w:rsid w:val="00C1164C"/>
    <w:rsid w:val="00C11701"/>
    <w:rsid w:val="00C11753"/>
    <w:rsid w:val="00C118CE"/>
    <w:rsid w:val="00C11AF4"/>
    <w:rsid w:val="00C11FC5"/>
    <w:rsid w:val="00C12054"/>
    <w:rsid w:val="00C12112"/>
    <w:rsid w:val="00C1239A"/>
    <w:rsid w:val="00C124C9"/>
    <w:rsid w:val="00C12653"/>
    <w:rsid w:val="00C1265D"/>
    <w:rsid w:val="00C12729"/>
    <w:rsid w:val="00C12A91"/>
    <w:rsid w:val="00C12ABF"/>
    <w:rsid w:val="00C12B8D"/>
    <w:rsid w:val="00C12DEE"/>
    <w:rsid w:val="00C130E0"/>
    <w:rsid w:val="00C131AD"/>
    <w:rsid w:val="00C13228"/>
    <w:rsid w:val="00C1331E"/>
    <w:rsid w:val="00C134B7"/>
    <w:rsid w:val="00C13566"/>
    <w:rsid w:val="00C135CE"/>
    <w:rsid w:val="00C1396B"/>
    <w:rsid w:val="00C13B57"/>
    <w:rsid w:val="00C13C4F"/>
    <w:rsid w:val="00C13C70"/>
    <w:rsid w:val="00C13DEE"/>
    <w:rsid w:val="00C13FCD"/>
    <w:rsid w:val="00C14231"/>
    <w:rsid w:val="00C142EF"/>
    <w:rsid w:val="00C14600"/>
    <w:rsid w:val="00C14647"/>
    <w:rsid w:val="00C146AF"/>
    <w:rsid w:val="00C14712"/>
    <w:rsid w:val="00C14826"/>
    <w:rsid w:val="00C14A08"/>
    <w:rsid w:val="00C14B39"/>
    <w:rsid w:val="00C14CD7"/>
    <w:rsid w:val="00C14D27"/>
    <w:rsid w:val="00C14EB6"/>
    <w:rsid w:val="00C154F6"/>
    <w:rsid w:val="00C1559B"/>
    <w:rsid w:val="00C15709"/>
    <w:rsid w:val="00C157CD"/>
    <w:rsid w:val="00C1592D"/>
    <w:rsid w:val="00C15A98"/>
    <w:rsid w:val="00C15D84"/>
    <w:rsid w:val="00C162CC"/>
    <w:rsid w:val="00C16471"/>
    <w:rsid w:val="00C16955"/>
    <w:rsid w:val="00C16B31"/>
    <w:rsid w:val="00C16BDD"/>
    <w:rsid w:val="00C16D58"/>
    <w:rsid w:val="00C170AD"/>
    <w:rsid w:val="00C17142"/>
    <w:rsid w:val="00C17298"/>
    <w:rsid w:val="00C17514"/>
    <w:rsid w:val="00C175CB"/>
    <w:rsid w:val="00C1767F"/>
    <w:rsid w:val="00C1769B"/>
    <w:rsid w:val="00C1769D"/>
    <w:rsid w:val="00C176D0"/>
    <w:rsid w:val="00C17C8C"/>
    <w:rsid w:val="00C20035"/>
    <w:rsid w:val="00C2009D"/>
    <w:rsid w:val="00C20A7D"/>
    <w:rsid w:val="00C20B7B"/>
    <w:rsid w:val="00C20C30"/>
    <w:rsid w:val="00C20C3C"/>
    <w:rsid w:val="00C20FCC"/>
    <w:rsid w:val="00C21114"/>
    <w:rsid w:val="00C21503"/>
    <w:rsid w:val="00C21923"/>
    <w:rsid w:val="00C21940"/>
    <w:rsid w:val="00C21983"/>
    <w:rsid w:val="00C21A07"/>
    <w:rsid w:val="00C21AD2"/>
    <w:rsid w:val="00C21BAC"/>
    <w:rsid w:val="00C21D7C"/>
    <w:rsid w:val="00C21E60"/>
    <w:rsid w:val="00C22283"/>
    <w:rsid w:val="00C22546"/>
    <w:rsid w:val="00C225A5"/>
    <w:rsid w:val="00C2262E"/>
    <w:rsid w:val="00C22643"/>
    <w:rsid w:val="00C22B32"/>
    <w:rsid w:val="00C23002"/>
    <w:rsid w:val="00C231F6"/>
    <w:rsid w:val="00C23260"/>
    <w:rsid w:val="00C235E0"/>
    <w:rsid w:val="00C237F4"/>
    <w:rsid w:val="00C2398C"/>
    <w:rsid w:val="00C23A1D"/>
    <w:rsid w:val="00C23E01"/>
    <w:rsid w:val="00C244C9"/>
    <w:rsid w:val="00C24652"/>
    <w:rsid w:val="00C2471C"/>
    <w:rsid w:val="00C24A39"/>
    <w:rsid w:val="00C24B4A"/>
    <w:rsid w:val="00C24BF2"/>
    <w:rsid w:val="00C24C16"/>
    <w:rsid w:val="00C24C5F"/>
    <w:rsid w:val="00C24C7B"/>
    <w:rsid w:val="00C24CAC"/>
    <w:rsid w:val="00C24DEC"/>
    <w:rsid w:val="00C24F60"/>
    <w:rsid w:val="00C2518D"/>
    <w:rsid w:val="00C251BA"/>
    <w:rsid w:val="00C2633C"/>
    <w:rsid w:val="00C263A9"/>
    <w:rsid w:val="00C2649D"/>
    <w:rsid w:val="00C264BF"/>
    <w:rsid w:val="00C26502"/>
    <w:rsid w:val="00C26629"/>
    <w:rsid w:val="00C2688D"/>
    <w:rsid w:val="00C26A34"/>
    <w:rsid w:val="00C26BF8"/>
    <w:rsid w:val="00C26CC1"/>
    <w:rsid w:val="00C26DDA"/>
    <w:rsid w:val="00C27323"/>
    <w:rsid w:val="00C274EE"/>
    <w:rsid w:val="00C275C8"/>
    <w:rsid w:val="00C27ABE"/>
    <w:rsid w:val="00C27C98"/>
    <w:rsid w:val="00C30415"/>
    <w:rsid w:val="00C30528"/>
    <w:rsid w:val="00C30535"/>
    <w:rsid w:val="00C3076B"/>
    <w:rsid w:val="00C309D2"/>
    <w:rsid w:val="00C30FC5"/>
    <w:rsid w:val="00C31158"/>
    <w:rsid w:val="00C31298"/>
    <w:rsid w:val="00C312A2"/>
    <w:rsid w:val="00C31555"/>
    <w:rsid w:val="00C315AA"/>
    <w:rsid w:val="00C315EB"/>
    <w:rsid w:val="00C3160D"/>
    <w:rsid w:val="00C316AF"/>
    <w:rsid w:val="00C316BF"/>
    <w:rsid w:val="00C31B00"/>
    <w:rsid w:val="00C31DC5"/>
    <w:rsid w:val="00C323F0"/>
    <w:rsid w:val="00C3245D"/>
    <w:rsid w:val="00C32486"/>
    <w:rsid w:val="00C328CB"/>
    <w:rsid w:val="00C32D0D"/>
    <w:rsid w:val="00C32EB2"/>
    <w:rsid w:val="00C33013"/>
    <w:rsid w:val="00C332BB"/>
    <w:rsid w:val="00C332D2"/>
    <w:rsid w:val="00C33325"/>
    <w:rsid w:val="00C33482"/>
    <w:rsid w:val="00C334F4"/>
    <w:rsid w:val="00C3388A"/>
    <w:rsid w:val="00C33C2F"/>
    <w:rsid w:val="00C33D00"/>
    <w:rsid w:val="00C33F77"/>
    <w:rsid w:val="00C33FCC"/>
    <w:rsid w:val="00C3413A"/>
    <w:rsid w:val="00C3433C"/>
    <w:rsid w:val="00C3444B"/>
    <w:rsid w:val="00C345E8"/>
    <w:rsid w:val="00C34870"/>
    <w:rsid w:val="00C34B0B"/>
    <w:rsid w:val="00C34F1C"/>
    <w:rsid w:val="00C34F53"/>
    <w:rsid w:val="00C35320"/>
    <w:rsid w:val="00C35467"/>
    <w:rsid w:val="00C3551D"/>
    <w:rsid w:val="00C3581D"/>
    <w:rsid w:val="00C35922"/>
    <w:rsid w:val="00C3594C"/>
    <w:rsid w:val="00C359AC"/>
    <w:rsid w:val="00C35BF0"/>
    <w:rsid w:val="00C35F67"/>
    <w:rsid w:val="00C3604A"/>
    <w:rsid w:val="00C362BD"/>
    <w:rsid w:val="00C365AD"/>
    <w:rsid w:val="00C367E2"/>
    <w:rsid w:val="00C36983"/>
    <w:rsid w:val="00C36D88"/>
    <w:rsid w:val="00C371A2"/>
    <w:rsid w:val="00C371D1"/>
    <w:rsid w:val="00C375B5"/>
    <w:rsid w:val="00C378C0"/>
    <w:rsid w:val="00C37B70"/>
    <w:rsid w:val="00C37BC8"/>
    <w:rsid w:val="00C37E03"/>
    <w:rsid w:val="00C37F34"/>
    <w:rsid w:val="00C37F57"/>
    <w:rsid w:val="00C40002"/>
    <w:rsid w:val="00C405BD"/>
    <w:rsid w:val="00C40715"/>
    <w:rsid w:val="00C40748"/>
    <w:rsid w:val="00C407A3"/>
    <w:rsid w:val="00C407CF"/>
    <w:rsid w:val="00C4082A"/>
    <w:rsid w:val="00C409CE"/>
    <w:rsid w:val="00C41070"/>
    <w:rsid w:val="00C41122"/>
    <w:rsid w:val="00C41299"/>
    <w:rsid w:val="00C41550"/>
    <w:rsid w:val="00C418D6"/>
    <w:rsid w:val="00C41B09"/>
    <w:rsid w:val="00C41BE2"/>
    <w:rsid w:val="00C41CEE"/>
    <w:rsid w:val="00C41E61"/>
    <w:rsid w:val="00C422B9"/>
    <w:rsid w:val="00C422D4"/>
    <w:rsid w:val="00C42331"/>
    <w:rsid w:val="00C4239F"/>
    <w:rsid w:val="00C423C1"/>
    <w:rsid w:val="00C424D0"/>
    <w:rsid w:val="00C4273A"/>
    <w:rsid w:val="00C427D0"/>
    <w:rsid w:val="00C429AB"/>
    <w:rsid w:val="00C42B69"/>
    <w:rsid w:val="00C42BF7"/>
    <w:rsid w:val="00C42ED1"/>
    <w:rsid w:val="00C42FE5"/>
    <w:rsid w:val="00C43079"/>
    <w:rsid w:val="00C4325D"/>
    <w:rsid w:val="00C433DC"/>
    <w:rsid w:val="00C43424"/>
    <w:rsid w:val="00C434FC"/>
    <w:rsid w:val="00C437E3"/>
    <w:rsid w:val="00C43B20"/>
    <w:rsid w:val="00C43BD4"/>
    <w:rsid w:val="00C43D51"/>
    <w:rsid w:val="00C440DF"/>
    <w:rsid w:val="00C441B9"/>
    <w:rsid w:val="00C441D4"/>
    <w:rsid w:val="00C442A7"/>
    <w:rsid w:val="00C44479"/>
    <w:rsid w:val="00C4452A"/>
    <w:rsid w:val="00C44A75"/>
    <w:rsid w:val="00C44C32"/>
    <w:rsid w:val="00C44D02"/>
    <w:rsid w:val="00C44D82"/>
    <w:rsid w:val="00C44D96"/>
    <w:rsid w:val="00C44E2E"/>
    <w:rsid w:val="00C44EA3"/>
    <w:rsid w:val="00C4512A"/>
    <w:rsid w:val="00C45193"/>
    <w:rsid w:val="00C454DB"/>
    <w:rsid w:val="00C455B8"/>
    <w:rsid w:val="00C4565B"/>
    <w:rsid w:val="00C45770"/>
    <w:rsid w:val="00C45916"/>
    <w:rsid w:val="00C45A73"/>
    <w:rsid w:val="00C45BC0"/>
    <w:rsid w:val="00C45D42"/>
    <w:rsid w:val="00C45FAE"/>
    <w:rsid w:val="00C46042"/>
    <w:rsid w:val="00C460DD"/>
    <w:rsid w:val="00C46411"/>
    <w:rsid w:val="00C46526"/>
    <w:rsid w:val="00C46540"/>
    <w:rsid w:val="00C46627"/>
    <w:rsid w:val="00C467E9"/>
    <w:rsid w:val="00C46AE6"/>
    <w:rsid w:val="00C46B0F"/>
    <w:rsid w:val="00C46BDB"/>
    <w:rsid w:val="00C46BF0"/>
    <w:rsid w:val="00C471A0"/>
    <w:rsid w:val="00C47296"/>
    <w:rsid w:val="00C475C3"/>
    <w:rsid w:val="00C4761A"/>
    <w:rsid w:val="00C4775B"/>
    <w:rsid w:val="00C47A40"/>
    <w:rsid w:val="00C47CB9"/>
    <w:rsid w:val="00C5016E"/>
    <w:rsid w:val="00C50201"/>
    <w:rsid w:val="00C50786"/>
    <w:rsid w:val="00C509AB"/>
    <w:rsid w:val="00C50A27"/>
    <w:rsid w:val="00C50A74"/>
    <w:rsid w:val="00C50C1A"/>
    <w:rsid w:val="00C51321"/>
    <w:rsid w:val="00C51405"/>
    <w:rsid w:val="00C51438"/>
    <w:rsid w:val="00C51507"/>
    <w:rsid w:val="00C516F6"/>
    <w:rsid w:val="00C51807"/>
    <w:rsid w:val="00C519BE"/>
    <w:rsid w:val="00C51AF4"/>
    <w:rsid w:val="00C521E5"/>
    <w:rsid w:val="00C5228F"/>
    <w:rsid w:val="00C522D8"/>
    <w:rsid w:val="00C5250E"/>
    <w:rsid w:val="00C525B1"/>
    <w:rsid w:val="00C52689"/>
    <w:rsid w:val="00C528A8"/>
    <w:rsid w:val="00C529CF"/>
    <w:rsid w:val="00C52A7C"/>
    <w:rsid w:val="00C52B0C"/>
    <w:rsid w:val="00C52CE9"/>
    <w:rsid w:val="00C52D24"/>
    <w:rsid w:val="00C52E1D"/>
    <w:rsid w:val="00C531EC"/>
    <w:rsid w:val="00C5389B"/>
    <w:rsid w:val="00C538F4"/>
    <w:rsid w:val="00C539C0"/>
    <w:rsid w:val="00C53A84"/>
    <w:rsid w:val="00C53ACD"/>
    <w:rsid w:val="00C53B61"/>
    <w:rsid w:val="00C53BD5"/>
    <w:rsid w:val="00C53D44"/>
    <w:rsid w:val="00C53DE5"/>
    <w:rsid w:val="00C540F3"/>
    <w:rsid w:val="00C54111"/>
    <w:rsid w:val="00C54478"/>
    <w:rsid w:val="00C544A1"/>
    <w:rsid w:val="00C54E49"/>
    <w:rsid w:val="00C54EA0"/>
    <w:rsid w:val="00C54FCA"/>
    <w:rsid w:val="00C5509E"/>
    <w:rsid w:val="00C552E2"/>
    <w:rsid w:val="00C55577"/>
    <w:rsid w:val="00C55616"/>
    <w:rsid w:val="00C556DF"/>
    <w:rsid w:val="00C5570D"/>
    <w:rsid w:val="00C5593C"/>
    <w:rsid w:val="00C55A79"/>
    <w:rsid w:val="00C55BA4"/>
    <w:rsid w:val="00C55C4F"/>
    <w:rsid w:val="00C55D9E"/>
    <w:rsid w:val="00C55E1A"/>
    <w:rsid w:val="00C55EC4"/>
    <w:rsid w:val="00C5613C"/>
    <w:rsid w:val="00C561B5"/>
    <w:rsid w:val="00C56268"/>
    <w:rsid w:val="00C5649C"/>
    <w:rsid w:val="00C56728"/>
    <w:rsid w:val="00C568B1"/>
    <w:rsid w:val="00C56AA9"/>
    <w:rsid w:val="00C56BF8"/>
    <w:rsid w:val="00C56C43"/>
    <w:rsid w:val="00C56C89"/>
    <w:rsid w:val="00C56E4E"/>
    <w:rsid w:val="00C56E5A"/>
    <w:rsid w:val="00C57251"/>
    <w:rsid w:val="00C5726E"/>
    <w:rsid w:val="00C573CF"/>
    <w:rsid w:val="00C5744C"/>
    <w:rsid w:val="00C57492"/>
    <w:rsid w:val="00C57690"/>
    <w:rsid w:val="00C57779"/>
    <w:rsid w:val="00C578B6"/>
    <w:rsid w:val="00C579C5"/>
    <w:rsid w:val="00C60101"/>
    <w:rsid w:val="00C60497"/>
    <w:rsid w:val="00C60796"/>
    <w:rsid w:val="00C6098C"/>
    <w:rsid w:val="00C611B2"/>
    <w:rsid w:val="00C61294"/>
    <w:rsid w:val="00C61439"/>
    <w:rsid w:val="00C61652"/>
    <w:rsid w:val="00C61739"/>
    <w:rsid w:val="00C61858"/>
    <w:rsid w:val="00C61879"/>
    <w:rsid w:val="00C6192A"/>
    <w:rsid w:val="00C619C9"/>
    <w:rsid w:val="00C61DB1"/>
    <w:rsid w:val="00C61DBC"/>
    <w:rsid w:val="00C61F2B"/>
    <w:rsid w:val="00C61F8A"/>
    <w:rsid w:val="00C62268"/>
    <w:rsid w:val="00C6231F"/>
    <w:rsid w:val="00C6235C"/>
    <w:rsid w:val="00C623CB"/>
    <w:rsid w:val="00C62597"/>
    <w:rsid w:val="00C625B2"/>
    <w:rsid w:val="00C62902"/>
    <w:rsid w:val="00C62A73"/>
    <w:rsid w:val="00C62ABF"/>
    <w:rsid w:val="00C62BC1"/>
    <w:rsid w:val="00C62DEF"/>
    <w:rsid w:val="00C62F20"/>
    <w:rsid w:val="00C62F3B"/>
    <w:rsid w:val="00C62FA7"/>
    <w:rsid w:val="00C63173"/>
    <w:rsid w:val="00C632D3"/>
    <w:rsid w:val="00C6352A"/>
    <w:rsid w:val="00C63976"/>
    <w:rsid w:val="00C63BBF"/>
    <w:rsid w:val="00C63BD7"/>
    <w:rsid w:val="00C63D8A"/>
    <w:rsid w:val="00C63ED2"/>
    <w:rsid w:val="00C6423D"/>
    <w:rsid w:val="00C6428F"/>
    <w:rsid w:val="00C64852"/>
    <w:rsid w:val="00C64B2C"/>
    <w:rsid w:val="00C64C5B"/>
    <w:rsid w:val="00C64F9E"/>
    <w:rsid w:val="00C65009"/>
    <w:rsid w:val="00C65038"/>
    <w:rsid w:val="00C6521E"/>
    <w:rsid w:val="00C652BB"/>
    <w:rsid w:val="00C65324"/>
    <w:rsid w:val="00C653BC"/>
    <w:rsid w:val="00C65619"/>
    <w:rsid w:val="00C65624"/>
    <w:rsid w:val="00C656C5"/>
    <w:rsid w:val="00C65ABE"/>
    <w:rsid w:val="00C65C10"/>
    <w:rsid w:val="00C65CBB"/>
    <w:rsid w:val="00C65DD1"/>
    <w:rsid w:val="00C664C4"/>
    <w:rsid w:val="00C66564"/>
    <w:rsid w:val="00C666F6"/>
    <w:rsid w:val="00C66809"/>
    <w:rsid w:val="00C669C9"/>
    <w:rsid w:val="00C669CD"/>
    <w:rsid w:val="00C66BE9"/>
    <w:rsid w:val="00C66CA3"/>
    <w:rsid w:val="00C66DA6"/>
    <w:rsid w:val="00C6710E"/>
    <w:rsid w:val="00C6716B"/>
    <w:rsid w:val="00C673C2"/>
    <w:rsid w:val="00C67461"/>
    <w:rsid w:val="00C67478"/>
    <w:rsid w:val="00C677E9"/>
    <w:rsid w:val="00C67F1F"/>
    <w:rsid w:val="00C7006D"/>
    <w:rsid w:val="00C70700"/>
    <w:rsid w:val="00C70813"/>
    <w:rsid w:val="00C70844"/>
    <w:rsid w:val="00C708BD"/>
    <w:rsid w:val="00C70A3C"/>
    <w:rsid w:val="00C70A9C"/>
    <w:rsid w:val="00C70E0D"/>
    <w:rsid w:val="00C70E6D"/>
    <w:rsid w:val="00C710CD"/>
    <w:rsid w:val="00C713DC"/>
    <w:rsid w:val="00C71780"/>
    <w:rsid w:val="00C71BF3"/>
    <w:rsid w:val="00C7238D"/>
    <w:rsid w:val="00C72648"/>
    <w:rsid w:val="00C7275E"/>
    <w:rsid w:val="00C72DFF"/>
    <w:rsid w:val="00C72EA1"/>
    <w:rsid w:val="00C72F36"/>
    <w:rsid w:val="00C7317A"/>
    <w:rsid w:val="00C732E7"/>
    <w:rsid w:val="00C736FB"/>
    <w:rsid w:val="00C73AA3"/>
    <w:rsid w:val="00C73AD6"/>
    <w:rsid w:val="00C73FC7"/>
    <w:rsid w:val="00C743BF"/>
    <w:rsid w:val="00C748CA"/>
    <w:rsid w:val="00C7493B"/>
    <w:rsid w:val="00C7495A"/>
    <w:rsid w:val="00C74C4C"/>
    <w:rsid w:val="00C74CB5"/>
    <w:rsid w:val="00C74F45"/>
    <w:rsid w:val="00C74F49"/>
    <w:rsid w:val="00C750DC"/>
    <w:rsid w:val="00C75322"/>
    <w:rsid w:val="00C754AD"/>
    <w:rsid w:val="00C75637"/>
    <w:rsid w:val="00C756F6"/>
    <w:rsid w:val="00C7570C"/>
    <w:rsid w:val="00C75722"/>
    <w:rsid w:val="00C7579A"/>
    <w:rsid w:val="00C7595D"/>
    <w:rsid w:val="00C75D25"/>
    <w:rsid w:val="00C75EBF"/>
    <w:rsid w:val="00C75F2A"/>
    <w:rsid w:val="00C761D4"/>
    <w:rsid w:val="00C76364"/>
    <w:rsid w:val="00C765FE"/>
    <w:rsid w:val="00C7669E"/>
    <w:rsid w:val="00C76789"/>
    <w:rsid w:val="00C76838"/>
    <w:rsid w:val="00C769DC"/>
    <w:rsid w:val="00C76AF2"/>
    <w:rsid w:val="00C76D80"/>
    <w:rsid w:val="00C76EC8"/>
    <w:rsid w:val="00C77035"/>
    <w:rsid w:val="00C77179"/>
    <w:rsid w:val="00C77419"/>
    <w:rsid w:val="00C77464"/>
    <w:rsid w:val="00C7752F"/>
    <w:rsid w:val="00C775CE"/>
    <w:rsid w:val="00C777F7"/>
    <w:rsid w:val="00C77848"/>
    <w:rsid w:val="00C77A90"/>
    <w:rsid w:val="00C77BD4"/>
    <w:rsid w:val="00C77C4A"/>
    <w:rsid w:val="00C77D2C"/>
    <w:rsid w:val="00C80017"/>
    <w:rsid w:val="00C80330"/>
    <w:rsid w:val="00C803F3"/>
    <w:rsid w:val="00C80494"/>
    <w:rsid w:val="00C804EA"/>
    <w:rsid w:val="00C8051A"/>
    <w:rsid w:val="00C80541"/>
    <w:rsid w:val="00C805DF"/>
    <w:rsid w:val="00C8060A"/>
    <w:rsid w:val="00C8068A"/>
    <w:rsid w:val="00C806AC"/>
    <w:rsid w:val="00C806FA"/>
    <w:rsid w:val="00C80DAC"/>
    <w:rsid w:val="00C81449"/>
    <w:rsid w:val="00C81C3C"/>
    <w:rsid w:val="00C81D84"/>
    <w:rsid w:val="00C81DE2"/>
    <w:rsid w:val="00C81DE3"/>
    <w:rsid w:val="00C81F6A"/>
    <w:rsid w:val="00C8227A"/>
    <w:rsid w:val="00C822B8"/>
    <w:rsid w:val="00C82860"/>
    <w:rsid w:val="00C82E7D"/>
    <w:rsid w:val="00C82ECC"/>
    <w:rsid w:val="00C8360F"/>
    <w:rsid w:val="00C83F32"/>
    <w:rsid w:val="00C83FDB"/>
    <w:rsid w:val="00C8402C"/>
    <w:rsid w:val="00C841C4"/>
    <w:rsid w:val="00C84524"/>
    <w:rsid w:val="00C84551"/>
    <w:rsid w:val="00C848DC"/>
    <w:rsid w:val="00C849A9"/>
    <w:rsid w:val="00C849B8"/>
    <w:rsid w:val="00C84EA8"/>
    <w:rsid w:val="00C84F78"/>
    <w:rsid w:val="00C8507B"/>
    <w:rsid w:val="00C85427"/>
    <w:rsid w:val="00C8544D"/>
    <w:rsid w:val="00C855D9"/>
    <w:rsid w:val="00C85AF9"/>
    <w:rsid w:val="00C85BBF"/>
    <w:rsid w:val="00C85EBF"/>
    <w:rsid w:val="00C85F05"/>
    <w:rsid w:val="00C86049"/>
    <w:rsid w:val="00C8617F"/>
    <w:rsid w:val="00C864DF"/>
    <w:rsid w:val="00C864EA"/>
    <w:rsid w:val="00C865E5"/>
    <w:rsid w:val="00C8692C"/>
    <w:rsid w:val="00C8693D"/>
    <w:rsid w:val="00C86ABE"/>
    <w:rsid w:val="00C86C48"/>
    <w:rsid w:val="00C86D60"/>
    <w:rsid w:val="00C86DA5"/>
    <w:rsid w:val="00C86F42"/>
    <w:rsid w:val="00C86FBD"/>
    <w:rsid w:val="00C872B6"/>
    <w:rsid w:val="00C87517"/>
    <w:rsid w:val="00C876F1"/>
    <w:rsid w:val="00C8771C"/>
    <w:rsid w:val="00C877DF"/>
    <w:rsid w:val="00C878AF"/>
    <w:rsid w:val="00C87D8F"/>
    <w:rsid w:val="00C87DEE"/>
    <w:rsid w:val="00C900FB"/>
    <w:rsid w:val="00C90198"/>
    <w:rsid w:val="00C9038F"/>
    <w:rsid w:val="00C903AE"/>
    <w:rsid w:val="00C9051A"/>
    <w:rsid w:val="00C9053B"/>
    <w:rsid w:val="00C906C0"/>
    <w:rsid w:val="00C90929"/>
    <w:rsid w:val="00C90940"/>
    <w:rsid w:val="00C909AC"/>
    <w:rsid w:val="00C90C3E"/>
    <w:rsid w:val="00C90FE4"/>
    <w:rsid w:val="00C916A7"/>
    <w:rsid w:val="00C916D6"/>
    <w:rsid w:val="00C91867"/>
    <w:rsid w:val="00C9191A"/>
    <w:rsid w:val="00C91DB9"/>
    <w:rsid w:val="00C91E1F"/>
    <w:rsid w:val="00C91F50"/>
    <w:rsid w:val="00C9205F"/>
    <w:rsid w:val="00C9208D"/>
    <w:rsid w:val="00C922E7"/>
    <w:rsid w:val="00C922EE"/>
    <w:rsid w:val="00C92404"/>
    <w:rsid w:val="00C925C0"/>
    <w:rsid w:val="00C92613"/>
    <w:rsid w:val="00C92632"/>
    <w:rsid w:val="00C927F1"/>
    <w:rsid w:val="00C929E9"/>
    <w:rsid w:val="00C92DB5"/>
    <w:rsid w:val="00C9316A"/>
    <w:rsid w:val="00C931BF"/>
    <w:rsid w:val="00C931FB"/>
    <w:rsid w:val="00C932BC"/>
    <w:rsid w:val="00C93337"/>
    <w:rsid w:val="00C93553"/>
    <w:rsid w:val="00C9361D"/>
    <w:rsid w:val="00C9386D"/>
    <w:rsid w:val="00C93B2A"/>
    <w:rsid w:val="00C93B4C"/>
    <w:rsid w:val="00C93C11"/>
    <w:rsid w:val="00C93D7B"/>
    <w:rsid w:val="00C93F52"/>
    <w:rsid w:val="00C94011"/>
    <w:rsid w:val="00C940DE"/>
    <w:rsid w:val="00C941F5"/>
    <w:rsid w:val="00C9428B"/>
    <w:rsid w:val="00C9461B"/>
    <w:rsid w:val="00C9469C"/>
    <w:rsid w:val="00C946D0"/>
    <w:rsid w:val="00C9488C"/>
    <w:rsid w:val="00C948FF"/>
    <w:rsid w:val="00C94BC3"/>
    <w:rsid w:val="00C94BFA"/>
    <w:rsid w:val="00C94DEC"/>
    <w:rsid w:val="00C9510D"/>
    <w:rsid w:val="00C9518E"/>
    <w:rsid w:val="00C95387"/>
    <w:rsid w:val="00C9579B"/>
    <w:rsid w:val="00C957EC"/>
    <w:rsid w:val="00C95834"/>
    <w:rsid w:val="00C95858"/>
    <w:rsid w:val="00C958FE"/>
    <w:rsid w:val="00C95C24"/>
    <w:rsid w:val="00C95E3E"/>
    <w:rsid w:val="00C961BF"/>
    <w:rsid w:val="00C9645A"/>
    <w:rsid w:val="00C96528"/>
    <w:rsid w:val="00C966BA"/>
    <w:rsid w:val="00C96731"/>
    <w:rsid w:val="00C9698D"/>
    <w:rsid w:val="00C96BA1"/>
    <w:rsid w:val="00C96C0B"/>
    <w:rsid w:val="00C96C33"/>
    <w:rsid w:val="00C96DDC"/>
    <w:rsid w:val="00C97133"/>
    <w:rsid w:val="00C9716F"/>
    <w:rsid w:val="00C9771E"/>
    <w:rsid w:val="00C977C0"/>
    <w:rsid w:val="00C9791F"/>
    <w:rsid w:val="00C97EED"/>
    <w:rsid w:val="00C97F8F"/>
    <w:rsid w:val="00CA00C3"/>
    <w:rsid w:val="00CA02CF"/>
    <w:rsid w:val="00CA03D3"/>
    <w:rsid w:val="00CA056F"/>
    <w:rsid w:val="00CA06D1"/>
    <w:rsid w:val="00CA08CF"/>
    <w:rsid w:val="00CA0A31"/>
    <w:rsid w:val="00CA0A74"/>
    <w:rsid w:val="00CA0A8F"/>
    <w:rsid w:val="00CA0B75"/>
    <w:rsid w:val="00CA0BD8"/>
    <w:rsid w:val="00CA1079"/>
    <w:rsid w:val="00CA1150"/>
    <w:rsid w:val="00CA125E"/>
    <w:rsid w:val="00CA1280"/>
    <w:rsid w:val="00CA145F"/>
    <w:rsid w:val="00CA151D"/>
    <w:rsid w:val="00CA15CA"/>
    <w:rsid w:val="00CA1BA4"/>
    <w:rsid w:val="00CA1E45"/>
    <w:rsid w:val="00CA1E8C"/>
    <w:rsid w:val="00CA1F82"/>
    <w:rsid w:val="00CA2193"/>
    <w:rsid w:val="00CA2232"/>
    <w:rsid w:val="00CA22BA"/>
    <w:rsid w:val="00CA2492"/>
    <w:rsid w:val="00CA2594"/>
    <w:rsid w:val="00CA2725"/>
    <w:rsid w:val="00CA2954"/>
    <w:rsid w:val="00CA2ADD"/>
    <w:rsid w:val="00CA2B05"/>
    <w:rsid w:val="00CA2C05"/>
    <w:rsid w:val="00CA2CDF"/>
    <w:rsid w:val="00CA32ED"/>
    <w:rsid w:val="00CA3317"/>
    <w:rsid w:val="00CA3336"/>
    <w:rsid w:val="00CA351D"/>
    <w:rsid w:val="00CA3606"/>
    <w:rsid w:val="00CA3629"/>
    <w:rsid w:val="00CA3827"/>
    <w:rsid w:val="00CA3922"/>
    <w:rsid w:val="00CA3998"/>
    <w:rsid w:val="00CA39F9"/>
    <w:rsid w:val="00CA3A24"/>
    <w:rsid w:val="00CA3A4E"/>
    <w:rsid w:val="00CA3D1F"/>
    <w:rsid w:val="00CA3D4E"/>
    <w:rsid w:val="00CA3E6B"/>
    <w:rsid w:val="00CA3EE0"/>
    <w:rsid w:val="00CA41BD"/>
    <w:rsid w:val="00CA45B1"/>
    <w:rsid w:val="00CA45C0"/>
    <w:rsid w:val="00CA47FF"/>
    <w:rsid w:val="00CA4AD5"/>
    <w:rsid w:val="00CA4B96"/>
    <w:rsid w:val="00CA4C81"/>
    <w:rsid w:val="00CA4E78"/>
    <w:rsid w:val="00CA50D4"/>
    <w:rsid w:val="00CA5147"/>
    <w:rsid w:val="00CA51E4"/>
    <w:rsid w:val="00CA52F3"/>
    <w:rsid w:val="00CA53DD"/>
    <w:rsid w:val="00CA54FF"/>
    <w:rsid w:val="00CA558A"/>
    <w:rsid w:val="00CA5A17"/>
    <w:rsid w:val="00CA5F14"/>
    <w:rsid w:val="00CA5F76"/>
    <w:rsid w:val="00CA60E7"/>
    <w:rsid w:val="00CA6150"/>
    <w:rsid w:val="00CA6164"/>
    <w:rsid w:val="00CA6279"/>
    <w:rsid w:val="00CA6694"/>
    <w:rsid w:val="00CA67A9"/>
    <w:rsid w:val="00CA6B01"/>
    <w:rsid w:val="00CA6D46"/>
    <w:rsid w:val="00CA6D66"/>
    <w:rsid w:val="00CA7014"/>
    <w:rsid w:val="00CA7082"/>
    <w:rsid w:val="00CA7587"/>
    <w:rsid w:val="00CA75FE"/>
    <w:rsid w:val="00CA760F"/>
    <w:rsid w:val="00CA79B2"/>
    <w:rsid w:val="00CA7A08"/>
    <w:rsid w:val="00CA7AEE"/>
    <w:rsid w:val="00CA7B2D"/>
    <w:rsid w:val="00CA7B88"/>
    <w:rsid w:val="00CA7B8A"/>
    <w:rsid w:val="00CA7FB2"/>
    <w:rsid w:val="00CB01D2"/>
    <w:rsid w:val="00CB025A"/>
    <w:rsid w:val="00CB06AC"/>
    <w:rsid w:val="00CB08C7"/>
    <w:rsid w:val="00CB09EF"/>
    <w:rsid w:val="00CB0C28"/>
    <w:rsid w:val="00CB0C9F"/>
    <w:rsid w:val="00CB0CB5"/>
    <w:rsid w:val="00CB0D42"/>
    <w:rsid w:val="00CB0F89"/>
    <w:rsid w:val="00CB0FD1"/>
    <w:rsid w:val="00CB10B5"/>
    <w:rsid w:val="00CB1287"/>
    <w:rsid w:val="00CB19FE"/>
    <w:rsid w:val="00CB1C2C"/>
    <w:rsid w:val="00CB1CDD"/>
    <w:rsid w:val="00CB1D0F"/>
    <w:rsid w:val="00CB1EEC"/>
    <w:rsid w:val="00CB209F"/>
    <w:rsid w:val="00CB221C"/>
    <w:rsid w:val="00CB228D"/>
    <w:rsid w:val="00CB23AD"/>
    <w:rsid w:val="00CB248D"/>
    <w:rsid w:val="00CB26EA"/>
    <w:rsid w:val="00CB27FC"/>
    <w:rsid w:val="00CB2850"/>
    <w:rsid w:val="00CB292D"/>
    <w:rsid w:val="00CB2A8F"/>
    <w:rsid w:val="00CB2B09"/>
    <w:rsid w:val="00CB2BEB"/>
    <w:rsid w:val="00CB2C57"/>
    <w:rsid w:val="00CB2CAB"/>
    <w:rsid w:val="00CB2E6F"/>
    <w:rsid w:val="00CB2E80"/>
    <w:rsid w:val="00CB2FCD"/>
    <w:rsid w:val="00CB3091"/>
    <w:rsid w:val="00CB329E"/>
    <w:rsid w:val="00CB3357"/>
    <w:rsid w:val="00CB335D"/>
    <w:rsid w:val="00CB3448"/>
    <w:rsid w:val="00CB365C"/>
    <w:rsid w:val="00CB38B9"/>
    <w:rsid w:val="00CB3C96"/>
    <w:rsid w:val="00CB3CF3"/>
    <w:rsid w:val="00CB3E77"/>
    <w:rsid w:val="00CB3FB5"/>
    <w:rsid w:val="00CB3FE3"/>
    <w:rsid w:val="00CB40CF"/>
    <w:rsid w:val="00CB4154"/>
    <w:rsid w:val="00CB42D4"/>
    <w:rsid w:val="00CB43CE"/>
    <w:rsid w:val="00CB45BF"/>
    <w:rsid w:val="00CB4607"/>
    <w:rsid w:val="00CB48B7"/>
    <w:rsid w:val="00CB48E7"/>
    <w:rsid w:val="00CB4ECE"/>
    <w:rsid w:val="00CB529B"/>
    <w:rsid w:val="00CB52D2"/>
    <w:rsid w:val="00CB56C0"/>
    <w:rsid w:val="00CB58B0"/>
    <w:rsid w:val="00CB59CE"/>
    <w:rsid w:val="00CB59D8"/>
    <w:rsid w:val="00CB5A66"/>
    <w:rsid w:val="00CB5B5D"/>
    <w:rsid w:val="00CB5D50"/>
    <w:rsid w:val="00CB5D7B"/>
    <w:rsid w:val="00CB5E41"/>
    <w:rsid w:val="00CB6290"/>
    <w:rsid w:val="00CB6485"/>
    <w:rsid w:val="00CB66F6"/>
    <w:rsid w:val="00CB6798"/>
    <w:rsid w:val="00CB6815"/>
    <w:rsid w:val="00CB684F"/>
    <w:rsid w:val="00CB6878"/>
    <w:rsid w:val="00CB68F0"/>
    <w:rsid w:val="00CB6B4A"/>
    <w:rsid w:val="00CB73F7"/>
    <w:rsid w:val="00CB755C"/>
    <w:rsid w:val="00CB7898"/>
    <w:rsid w:val="00CB78C8"/>
    <w:rsid w:val="00CB7989"/>
    <w:rsid w:val="00CB7B20"/>
    <w:rsid w:val="00CB7E37"/>
    <w:rsid w:val="00CB7EE0"/>
    <w:rsid w:val="00CB7F56"/>
    <w:rsid w:val="00CB7FDD"/>
    <w:rsid w:val="00CC0228"/>
    <w:rsid w:val="00CC0524"/>
    <w:rsid w:val="00CC069C"/>
    <w:rsid w:val="00CC085F"/>
    <w:rsid w:val="00CC0DFB"/>
    <w:rsid w:val="00CC0E20"/>
    <w:rsid w:val="00CC0E3B"/>
    <w:rsid w:val="00CC0E43"/>
    <w:rsid w:val="00CC1012"/>
    <w:rsid w:val="00CC10B7"/>
    <w:rsid w:val="00CC1295"/>
    <w:rsid w:val="00CC1412"/>
    <w:rsid w:val="00CC1514"/>
    <w:rsid w:val="00CC16C9"/>
    <w:rsid w:val="00CC1705"/>
    <w:rsid w:val="00CC1CBE"/>
    <w:rsid w:val="00CC1DE7"/>
    <w:rsid w:val="00CC20F9"/>
    <w:rsid w:val="00CC255D"/>
    <w:rsid w:val="00CC2633"/>
    <w:rsid w:val="00CC2636"/>
    <w:rsid w:val="00CC287B"/>
    <w:rsid w:val="00CC28EA"/>
    <w:rsid w:val="00CC29A1"/>
    <w:rsid w:val="00CC29D2"/>
    <w:rsid w:val="00CC2ACE"/>
    <w:rsid w:val="00CC2B50"/>
    <w:rsid w:val="00CC2D67"/>
    <w:rsid w:val="00CC2D7A"/>
    <w:rsid w:val="00CC3259"/>
    <w:rsid w:val="00CC348F"/>
    <w:rsid w:val="00CC360B"/>
    <w:rsid w:val="00CC3939"/>
    <w:rsid w:val="00CC3D35"/>
    <w:rsid w:val="00CC3D3F"/>
    <w:rsid w:val="00CC3EEF"/>
    <w:rsid w:val="00CC41CA"/>
    <w:rsid w:val="00CC4289"/>
    <w:rsid w:val="00CC442C"/>
    <w:rsid w:val="00CC4446"/>
    <w:rsid w:val="00CC447A"/>
    <w:rsid w:val="00CC492D"/>
    <w:rsid w:val="00CC49B0"/>
    <w:rsid w:val="00CC4ABE"/>
    <w:rsid w:val="00CC4DEB"/>
    <w:rsid w:val="00CC4E1B"/>
    <w:rsid w:val="00CC4F33"/>
    <w:rsid w:val="00CC4FAB"/>
    <w:rsid w:val="00CC4FD2"/>
    <w:rsid w:val="00CC5216"/>
    <w:rsid w:val="00CC52D0"/>
    <w:rsid w:val="00CC546E"/>
    <w:rsid w:val="00CC5546"/>
    <w:rsid w:val="00CC5A59"/>
    <w:rsid w:val="00CC5B4D"/>
    <w:rsid w:val="00CC5C23"/>
    <w:rsid w:val="00CC5C50"/>
    <w:rsid w:val="00CC5CBC"/>
    <w:rsid w:val="00CC617F"/>
    <w:rsid w:val="00CC6212"/>
    <w:rsid w:val="00CC62B9"/>
    <w:rsid w:val="00CC64A5"/>
    <w:rsid w:val="00CC6571"/>
    <w:rsid w:val="00CC65E4"/>
    <w:rsid w:val="00CC6B40"/>
    <w:rsid w:val="00CC6BAF"/>
    <w:rsid w:val="00CC6E09"/>
    <w:rsid w:val="00CC7426"/>
    <w:rsid w:val="00CC746B"/>
    <w:rsid w:val="00CC74EC"/>
    <w:rsid w:val="00CC7623"/>
    <w:rsid w:val="00CC7C30"/>
    <w:rsid w:val="00CC7F5B"/>
    <w:rsid w:val="00CD016E"/>
    <w:rsid w:val="00CD0348"/>
    <w:rsid w:val="00CD06FE"/>
    <w:rsid w:val="00CD077F"/>
    <w:rsid w:val="00CD096E"/>
    <w:rsid w:val="00CD09D3"/>
    <w:rsid w:val="00CD0B15"/>
    <w:rsid w:val="00CD0B9A"/>
    <w:rsid w:val="00CD0BA2"/>
    <w:rsid w:val="00CD0F52"/>
    <w:rsid w:val="00CD1015"/>
    <w:rsid w:val="00CD1050"/>
    <w:rsid w:val="00CD10E9"/>
    <w:rsid w:val="00CD11FA"/>
    <w:rsid w:val="00CD1245"/>
    <w:rsid w:val="00CD15B3"/>
    <w:rsid w:val="00CD1647"/>
    <w:rsid w:val="00CD16D4"/>
    <w:rsid w:val="00CD1DF5"/>
    <w:rsid w:val="00CD1F51"/>
    <w:rsid w:val="00CD1FDF"/>
    <w:rsid w:val="00CD2272"/>
    <w:rsid w:val="00CD22BA"/>
    <w:rsid w:val="00CD2518"/>
    <w:rsid w:val="00CD26B1"/>
    <w:rsid w:val="00CD270D"/>
    <w:rsid w:val="00CD28EE"/>
    <w:rsid w:val="00CD2989"/>
    <w:rsid w:val="00CD2AE5"/>
    <w:rsid w:val="00CD2C48"/>
    <w:rsid w:val="00CD2C54"/>
    <w:rsid w:val="00CD303F"/>
    <w:rsid w:val="00CD31A7"/>
    <w:rsid w:val="00CD31F6"/>
    <w:rsid w:val="00CD3333"/>
    <w:rsid w:val="00CD346F"/>
    <w:rsid w:val="00CD3543"/>
    <w:rsid w:val="00CD3581"/>
    <w:rsid w:val="00CD35D2"/>
    <w:rsid w:val="00CD3862"/>
    <w:rsid w:val="00CD38BD"/>
    <w:rsid w:val="00CD38ED"/>
    <w:rsid w:val="00CD3D5C"/>
    <w:rsid w:val="00CD42B1"/>
    <w:rsid w:val="00CD443F"/>
    <w:rsid w:val="00CD451D"/>
    <w:rsid w:val="00CD4547"/>
    <w:rsid w:val="00CD4574"/>
    <w:rsid w:val="00CD4578"/>
    <w:rsid w:val="00CD45F7"/>
    <w:rsid w:val="00CD481A"/>
    <w:rsid w:val="00CD4957"/>
    <w:rsid w:val="00CD4E38"/>
    <w:rsid w:val="00CD527A"/>
    <w:rsid w:val="00CD536B"/>
    <w:rsid w:val="00CD541F"/>
    <w:rsid w:val="00CD544B"/>
    <w:rsid w:val="00CD554D"/>
    <w:rsid w:val="00CD56B5"/>
    <w:rsid w:val="00CD57E2"/>
    <w:rsid w:val="00CD57F0"/>
    <w:rsid w:val="00CD5BF0"/>
    <w:rsid w:val="00CD5D66"/>
    <w:rsid w:val="00CD5E41"/>
    <w:rsid w:val="00CD5FB7"/>
    <w:rsid w:val="00CD6189"/>
    <w:rsid w:val="00CD6673"/>
    <w:rsid w:val="00CD66D4"/>
    <w:rsid w:val="00CD688D"/>
    <w:rsid w:val="00CD6977"/>
    <w:rsid w:val="00CD70E7"/>
    <w:rsid w:val="00CD7157"/>
    <w:rsid w:val="00CD79C0"/>
    <w:rsid w:val="00CD7A8A"/>
    <w:rsid w:val="00CD7ABB"/>
    <w:rsid w:val="00CD7CA9"/>
    <w:rsid w:val="00CD7D1B"/>
    <w:rsid w:val="00CD7D9E"/>
    <w:rsid w:val="00CD7E33"/>
    <w:rsid w:val="00CD7FFC"/>
    <w:rsid w:val="00CE0216"/>
    <w:rsid w:val="00CE02DE"/>
    <w:rsid w:val="00CE0363"/>
    <w:rsid w:val="00CE03AB"/>
    <w:rsid w:val="00CE05BB"/>
    <w:rsid w:val="00CE06C8"/>
    <w:rsid w:val="00CE0B28"/>
    <w:rsid w:val="00CE0FA1"/>
    <w:rsid w:val="00CE10AF"/>
    <w:rsid w:val="00CE120E"/>
    <w:rsid w:val="00CE1432"/>
    <w:rsid w:val="00CE1473"/>
    <w:rsid w:val="00CE14E2"/>
    <w:rsid w:val="00CE1830"/>
    <w:rsid w:val="00CE1958"/>
    <w:rsid w:val="00CE1CFF"/>
    <w:rsid w:val="00CE1D03"/>
    <w:rsid w:val="00CE1E26"/>
    <w:rsid w:val="00CE217D"/>
    <w:rsid w:val="00CE2646"/>
    <w:rsid w:val="00CE2768"/>
    <w:rsid w:val="00CE2B9D"/>
    <w:rsid w:val="00CE33A6"/>
    <w:rsid w:val="00CE37A3"/>
    <w:rsid w:val="00CE37C9"/>
    <w:rsid w:val="00CE3B67"/>
    <w:rsid w:val="00CE3D27"/>
    <w:rsid w:val="00CE3D77"/>
    <w:rsid w:val="00CE422C"/>
    <w:rsid w:val="00CE4623"/>
    <w:rsid w:val="00CE470A"/>
    <w:rsid w:val="00CE4726"/>
    <w:rsid w:val="00CE47A1"/>
    <w:rsid w:val="00CE496C"/>
    <w:rsid w:val="00CE4B3E"/>
    <w:rsid w:val="00CE4E55"/>
    <w:rsid w:val="00CE506B"/>
    <w:rsid w:val="00CE507E"/>
    <w:rsid w:val="00CE51A9"/>
    <w:rsid w:val="00CE51D7"/>
    <w:rsid w:val="00CE5276"/>
    <w:rsid w:val="00CE52F8"/>
    <w:rsid w:val="00CE56F5"/>
    <w:rsid w:val="00CE5931"/>
    <w:rsid w:val="00CE5BA5"/>
    <w:rsid w:val="00CE5F5B"/>
    <w:rsid w:val="00CE60F4"/>
    <w:rsid w:val="00CE617C"/>
    <w:rsid w:val="00CE61FE"/>
    <w:rsid w:val="00CE6561"/>
    <w:rsid w:val="00CE6682"/>
    <w:rsid w:val="00CE66E1"/>
    <w:rsid w:val="00CE674E"/>
    <w:rsid w:val="00CE6A08"/>
    <w:rsid w:val="00CE71B4"/>
    <w:rsid w:val="00CE76F0"/>
    <w:rsid w:val="00CE79A1"/>
    <w:rsid w:val="00CE7A96"/>
    <w:rsid w:val="00CE7C18"/>
    <w:rsid w:val="00CE7DFF"/>
    <w:rsid w:val="00CF022A"/>
    <w:rsid w:val="00CF0528"/>
    <w:rsid w:val="00CF059F"/>
    <w:rsid w:val="00CF061C"/>
    <w:rsid w:val="00CF06C1"/>
    <w:rsid w:val="00CF08E4"/>
    <w:rsid w:val="00CF08E8"/>
    <w:rsid w:val="00CF08FF"/>
    <w:rsid w:val="00CF0E08"/>
    <w:rsid w:val="00CF0E7A"/>
    <w:rsid w:val="00CF1551"/>
    <w:rsid w:val="00CF1604"/>
    <w:rsid w:val="00CF1642"/>
    <w:rsid w:val="00CF19AE"/>
    <w:rsid w:val="00CF1BAF"/>
    <w:rsid w:val="00CF1F6A"/>
    <w:rsid w:val="00CF1FD3"/>
    <w:rsid w:val="00CF26FA"/>
    <w:rsid w:val="00CF275E"/>
    <w:rsid w:val="00CF2761"/>
    <w:rsid w:val="00CF28F6"/>
    <w:rsid w:val="00CF2A89"/>
    <w:rsid w:val="00CF2B4E"/>
    <w:rsid w:val="00CF2BF0"/>
    <w:rsid w:val="00CF2F2B"/>
    <w:rsid w:val="00CF3322"/>
    <w:rsid w:val="00CF3747"/>
    <w:rsid w:val="00CF3813"/>
    <w:rsid w:val="00CF3A69"/>
    <w:rsid w:val="00CF3F80"/>
    <w:rsid w:val="00CF43C4"/>
    <w:rsid w:val="00CF45D4"/>
    <w:rsid w:val="00CF474E"/>
    <w:rsid w:val="00CF47DE"/>
    <w:rsid w:val="00CF4FE2"/>
    <w:rsid w:val="00CF4FFF"/>
    <w:rsid w:val="00CF525F"/>
    <w:rsid w:val="00CF5308"/>
    <w:rsid w:val="00CF536A"/>
    <w:rsid w:val="00CF5513"/>
    <w:rsid w:val="00CF5639"/>
    <w:rsid w:val="00CF56CC"/>
    <w:rsid w:val="00CF5817"/>
    <w:rsid w:val="00CF59F3"/>
    <w:rsid w:val="00CF5AAC"/>
    <w:rsid w:val="00CF5D92"/>
    <w:rsid w:val="00CF5E4B"/>
    <w:rsid w:val="00CF5E51"/>
    <w:rsid w:val="00CF5E63"/>
    <w:rsid w:val="00CF5EAC"/>
    <w:rsid w:val="00CF6434"/>
    <w:rsid w:val="00CF64B0"/>
    <w:rsid w:val="00CF6821"/>
    <w:rsid w:val="00CF684A"/>
    <w:rsid w:val="00CF6888"/>
    <w:rsid w:val="00CF69EC"/>
    <w:rsid w:val="00CF6A61"/>
    <w:rsid w:val="00CF6C10"/>
    <w:rsid w:val="00CF6D8D"/>
    <w:rsid w:val="00CF722D"/>
    <w:rsid w:val="00CF7382"/>
    <w:rsid w:val="00CF7471"/>
    <w:rsid w:val="00CF752E"/>
    <w:rsid w:val="00CF7998"/>
    <w:rsid w:val="00CF7AAD"/>
    <w:rsid w:val="00CF7C59"/>
    <w:rsid w:val="00CF7D0E"/>
    <w:rsid w:val="00CF7D84"/>
    <w:rsid w:val="00CF7E8A"/>
    <w:rsid w:val="00CF7EAD"/>
    <w:rsid w:val="00CF7ECC"/>
    <w:rsid w:val="00CF7F5C"/>
    <w:rsid w:val="00CF7FA4"/>
    <w:rsid w:val="00D0015F"/>
    <w:rsid w:val="00D0016E"/>
    <w:rsid w:val="00D00213"/>
    <w:rsid w:val="00D002EC"/>
    <w:rsid w:val="00D0037F"/>
    <w:rsid w:val="00D003C6"/>
    <w:rsid w:val="00D0043E"/>
    <w:rsid w:val="00D004D3"/>
    <w:rsid w:val="00D0052D"/>
    <w:rsid w:val="00D007AD"/>
    <w:rsid w:val="00D00924"/>
    <w:rsid w:val="00D009A7"/>
    <w:rsid w:val="00D00C5B"/>
    <w:rsid w:val="00D00C7C"/>
    <w:rsid w:val="00D00E77"/>
    <w:rsid w:val="00D00FB8"/>
    <w:rsid w:val="00D01450"/>
    <w:rsid w:val="00D01754"/>
    <w:rsid w:val="00D0178A"/>
    <w:rsid w:val="00D018EE"/>
    <w:rsid w:val="00D01D73"/>
    <w:rsid w:val="00D01DC1"/>
    <w:rsid w:val="00D01EF5"/>
    <w:rsid w:val="00D0220E"/>
    <w:rsid w:val="00D022C7"/>
    <w:rsid w:val="00D0259C"/>
    <w:rsid w:val="00D0263B"/>
    <w:rsid w:val="00D0267C"/>
    <w:rsid w:val="00D02866"/>
    <w:rsid w:val="00D02945"/>
    <w:rsid w:val="00D02AF4"/>
    <w:rsid w:val="00D02C78"/>
    <w:rsid w:val="00D02CCF"/>
    <w:rsid w:val="00D030D4"/>
    <w:rsid w:val="00D0329B"/>
    <w:rsid w:val="00D036A3"/>
    <w:rsid w:val="00D037D3"/>
    <w:rsid w:val="00D03928"/>
    <w:rsid w:val="00D03AFB"/>
    <w:rsid w:val="00D03B4D"/>
    <w:rsid w:val="00D03C5C"/>
    <w:rsid w:val="00D03FF3"/>
    <w:rsid w:val="00D0407C"/>
    <w:rsid w:val="00D04150"/>
    <w:rsid w:val="00D04446"/>
    <w:rsid w:val="00D047A1"/>
    <w:rsid w:val="00D049A0"/>
    <w:rsid w:val="00D04FFA"/>
    <w:rsid w:val="00D05035"/>
    <w:rsid w:val="00D050C1"/>
    <w:rsid w:val="00D05131"/>
    <w:rsid w:val="00D0521D"/>
    <w:rsid w:val="00D0540C"/>
    <w:rsid w:val="00D0541D"/>
    <w:rsid w:val="00D05450"/>
    <w:rsid w:val="00D05525"/>
    <w:rsid w:val="00D055B4"/>
    <w:rsid w:val="00D05891"/>
    <w:rsid w:val="00D059FF"/>
    <w:rsid w:val="00D05A56"/>
    <w:rsid w:val="00D05B0D"/>
    <w:rsid w:val="00D05CCC"/>
    <w:rsid w:val="00D05D41"/>
    <w:rsid w:val="00D05D7F"/>
    <w:rsid w:val="00D0601D"/>
    <w:rsid w:val="00D060C3"/>
    <w:rsid w:val="00D06358"/>
    <w:rsid w:val="00D0641C"/>
    <w:rsid w:val="00D0679D"/>
    <w:rsid w:val="00D06A29"/>
    <w:rsid w:val="00D06F93"/>
    <w:rsid w:val="00D06FC1"/>
    <w:rsid w:val="00D074A8"/>
    <w:rsid w:val="00D0763B"/>
    <w:rsid w:val="00D078CD"/>
    <w:rsid w:val="00D079A9"/>
    <w:rsid w:val="00D079D8"/>
    <w:rsid w:val="00D07A50"/>
    <w:rsid w:val="00D07CC0"/>
    <w:rsid w:val="00D07D16"/>
    <w:rsid w:val="00D07DB6"/>
    <w:rsid w:val="00D10445"/>
    <w:rsid w:val="00D108FD"/>
    <w:rsid w:val="00D10A75"/>
    <w:rsid w:val="00D10CA5"/>
    <w:rsid w:val="00D10ED6"/>
    <w:rsid w:val="00D11387"/>
    <w:rsid w:val="00D1143A"/>
    <w:rsid w:val="00D116B3"/>
    <w:rsid w:val="00D11840"/>
    <w:rsid w:val="00D11A30"/>
    <w:rsid w:val="00D11BFB"/>
    <w:rsid w:val="00D11C5F"/>
    <w:rsid w:val="00D11D4D"/>
    <w:rsid w:val="00D11F28"/>
    <w:rsid w:val="00D122F1"/>
    <w:rsid w:val="00D12393"/>
    <w:rsid w:val="00D1247F"/>
    <w:rsid w:val="00D1253C"/>
    <w:rsid w:val="00D126D9"/>
    <w:rsid w:val="00D12818"/>
    <w:rsid w:val="00D1313D"/>
    <w:rsid w:val="00D1330E"/>
    <w:rsid w:val="00D13816"/>
    <w:rsid w:val="00D1381B"/>
    <w:rsid w:val="00D13A83"/>
    <w:rsid w:val="00D13F02"/>
    <w:rsid w:val="00D13F20"/>
    <w:rsid w:val="00D140D0"/>
    <w:rsid w:val="00D14213"/>
    <w:rsid w:val="00D148F9"/>
    <w:rsid w:val="00D14AA0"/>
    <w:rsid w:val="00D14B19"/>
    <w:rsid w:val="00D14B27"/>
    <w:rsid w:val="00D14D89"/>
    <w:rsid w:val="00D14EF5"/>
    <w:rsid w:val="00D15228"/>
    <w:rsid w:val="00D153DB"/>
    <w:rsid w:val="00D1580D"/>
    <w:rsid w:val="00D1593B"/>
    <w:rsid w:val="00D159E5"/>
    <w:rsid w:val="00D15A07"/>
    <w:rsid w:val="00D15C7E"/>
    <w:rsid w:val="00D15E91"/>
    <w:rsid w:val="00D15F35"/>
    <w:rsid w:val="00D1603B"/>
    <w:rsid w:val="00D163BC"/>
    <w:rsid w:val="00D164D4"/>
    <w:rsid w:val="00D16AF6"/>
    <w:rsid w:val="00D16D98"/>
    <w:rsid w:val="00D17221"/>
    <w:rsid w:val="00D1726D"/>
    <w:rsid w:val="00D1749F"/>
    <w:rsid w:val="00D17639"/>
    <w:rsid w:val="00D17BDF"/>
    <w:rsid w:val="00D17C7C"/>
    <w:rsid w:val="00D17CB4"/>
    <w:rsid w:val="00D17F06"/>
    <w:rsid w:val="00D202F7"/>
    <w:rsid w:val="00D2036B"/>
    <w:rsid w:val="00D204ED"/>
    <w:rsid w:val="00D2058E"/>
    <w:rsid w:val="00D20732"/>
    <w:rsid w:val="00D208C5"/>
    <w:rsid w:val="00D20B00"/>
    <w:rsid w:val="00D20B9C"/>
    <w:rsid w:val="00D20F18"/>
    <w:rsid w:val="00D20F67"/>
    <w:rsid w:val="00D214E4"/>
    <w:rsid w:val="00D2161B"/>
    <w:rsid w:val="00D216CD"/>
    <w:rsid w:val="00D21866"/>
    <w:rsid w:val="00D218B5"/>
    <w:rsid w:val="00D21BBA"/>
    <w:rsid w:val="00D21C7B"/>
    <w:rsid w:val="00D21F85"/>
    <w:rsid w:val="00D2225E"/>
    <w:rsid w:val="00D2234C"/>
    <w:rsid w:val="00D223ED"/>
    <w:rsid w:val="00D225B3"/>
    <w:rsid w:val="00D2276F"/>
    <w:rsid w:val="00D22CDF"/>
    <w:rsid w:val="00D22F54"/>
    <w:rsid w:val="00D231B3"/>
    <w:rsid w:val="00D232C3"/>
    <w:rsid w:val="00D2359F"/>
    <w:rsid w:val="00D235B6"/>
    <w:rsid w:val="00D23736"/>
    <w:rsid w:val="00D2392F"/>
    <w:rsid w:val="00D23972"/>
    <w:rsid w:val="00D23B39"/>
    <w:rsid w:val="00D23DE9"/>
    <w:rsid w:val="00D24227"/>
    <w:rsid w:val="00D2492C"/>
    <w:rsid w:val="00D24962"/>
    <w:rsid w:val="00D24C3C"/>
    <w:rsid w:val="00D24C71"/>
    <w:rsid w:val="00D2516C"/>
    <w:rsid w:val="00D25287"/>
    <w:rsid w:val="00D25326"/>
    <w:rsid w:val="00D25650"/>
    <w:rsid w:val="00D25691"/>
    <w:rsid w:val="00D25864"/>
    <w:rsid w:val="00D25877"/>
    <w:rsid w:val="00D2595B"/>
    <w:rsid w:val="00D26103"/>
    <w:rsid w:val="00D2619A"/>
    <w:rsid w:val="00D26627"/>
    <w:rsid w:val="00D26697"/>
    <w:rsid w:val="00D26882"/>
    <w:rsid w:val="00D26916"/>
    <w:rsid w:val="00D26979"/>
    <w:rsid w:val="00D26A47"/>
    <w:rsid w:val="00D26AFB"/>
    <w:rsid w:val="00D270BE"/>
    <w:rsid w:val="00D270C3"/>
    <w:rsid w:val="00D271F0"/>
    <w:rsid w:val="00D271F2"/>
    <w:rsid w:val="00D27300"/>
    <w:rsid w:val="00D273C5"/>
    <w:rsid w:val="00D273E6"/>
    <w:rsid w:val="00D2748D"/>
    <w:rsid w:val="00D276D8"/>
    <w:rsid w:val="00D27A31"/>
    <w:rsid w:val="00D27E95"/>
    <w:rsid w:val="00D27EDC"/>
    <w:rsid w:val="00D30064"/>
    <w:rsid w:val="00D30164"/>
    <w:rsid w:val="00D3018E"/>
    <w:rsid w:val="00D301ED"/>
    <w:rsid w:val="00D302A0"/>
    <w:rsid w:val="00D3047B"/>
    <w:rsid w:val="00D30558"/>
    <w:rsid w:val="00D305E5"/>
    <w:rsid w:val="00D30CA7"/>
    <w:rsid w:val="00D30D2D"/>
    <w:rsid w:val="00D31236"/>
    <w:rsid w:val="00D31311"/>
    <w:rsid w:val="00D31A12"/>
    <w:rsid w:val="00D320E2"/>
    <w:rsid w:val="00D32151"/>
    <w:rsid w:val="00D321B8"/>
    <w:rsid w:val="00D32297"/>
    <w:rsid w:val="00D327CF"/>
    <w:rsid w:val="00D32B57"/>
    <w:rsid w:val="00D32C95"/>
    <w:rsid w:val="00D32D2F"/>
    <w:rsid w:val="00D32D6F"/>
    <w:rsid w:val="00D32EC1"/>
    <w:rsid w:val="00D33124"/>
    <w:rsid w:val="00D33403"/>
    <w:rsid w:val="00D33600"/>
    <w:rsid w:val="00D337F2"/>
    <w:rsid w:val="00D337FA"/>
    <w:rsid w:val="00D33CFF"/>
    <w:rsid w:val="00D33E31"/>
    <w:rsid w:val="00D33FF4"/>
    <w:rsid w:val="00D34362"/>
    <w:rsid w:val="00D3442A"/>
    <w:rsid w:val="00D344C1"/>
    <w:rsid w:val="00D34554"/>
    <w:rsid w:val="00D3462C"/>
    <w:rsid w:val="00D3480A"/>
    <w:rsid w:val="00D34B32"/>
    <w:rsid w:val="00D34B4F"/>
    <w:rsid w:val="00D350C4"/>
    <w:rsid w:val="00D35208"/>
    <w:rsid w:val="00D35212"/>
    <w:rsid w:val="00D353BC"/>
    <w:rsid w:val="00D354D5"/>
    <w:rsid w:val="00D35530"/>
    <w:rsid w:val="00D357F5"/>
    <w:rsid w:val="00D359B4"/>
    <w:rsid w:val="00D35B42"/>
    <w:rsid w:val="00D35C7F"/>
    <w:rsid w:val="00D360B7"/>
    <w:rsid w:val="00D36165"/>
    <w:rsid w:val="00D363D5"/>
    <w:rsid w:val="00D363F3"/>
    <w:rsid w:val="00D3665B"/>
    <w:rsid w:val="00D36771"/>
    <w:rsid w:val="00D36872"/>
    <w:rsid w:val="00D36DC4"/>
    <w:rsid w:val="00D36DFC"/>
    <w:rsid w:val="00D36F37"/>
    <w:rsid w:val="00D37140"/>
    <w:rsid w:val="00D37178"/>
    <w:rsid w:val="00D37212"/>
    <w:rsid w:val="00D3729D"/>
    <w:rsid w:val="00D37346"/>
    <w:rsid w:val="00D373FF"/>
    <w:rsid w:val="00D374CF"/>
    <w:rsid w:val="00D37820"/>
    <w:rsid w:val="00D37976"/>
    <w:rsid w:val="00D37AA9"/>
    <w:rsid w:val="00D37AB0"/>
    <w:rsid w:val="00D37B3D"/>
    <w:rsid w:val="00D37DB5"/>
    <w:rsid w:val="00D40237"/>
    <w:rsid w:val="00D402B2"/>
    <w:rsid w:val="00D40373"/>
    <w:rsid w:val="00D4045D"/>
    <w:rsid w:val="00D405D2"/>
    <w:rsid w:val="00D409C2"/>
    <w:rsid w:val="00D40B2F"/>
    <w:rsid w:val="00D40B90"/>
    <w:rsid w:val="00D40C70"/>
    <w:rsid w:val="00D40E4B"/>
    <w:rsid w:val="00D40E9E"/>
    <w:rsid w:val="00D411F8"/>
    <w:rsid w:val="00D412EA"/>
    <w:rsid w:val="00D415F6"/>
    <w:rsid w:val="00D416E5"/>
    <w:rsid w:val="00D417B4"/>
    <w:rsid w:val="00D419F0"/>
    <w:rsid w:val="00D41B76"/>
    <w:rsid w:val="00D41C4D"/>
    <w:rsid w:val="00D41DAC"/>
    <w:rsid w:val="00D41EA3"/>
    <w:rsid w:val="00D41EBA"/>
    <w:rsid w:val="00D41FC8"/>
    <w:rsid w:val="00D4200D"/>
    <w:rsid w:val="00D42104"/>
    <w:rsid w:val="00D4215C"/>
    <w:rsid w:val="00D422FC"/>
    <w:rsid w:val="00D42406"/>
    <w:rsid w:val="00D425B7"/>
    <w:rsid w:val="00D428E8"/>
    <w:rsid w:val="00D42936"/>
    <w:rsid w:val="00D42B0E"/>
    <w:rsid w:val="00D42C0C"/>
    <w:rsid w:val="00D42C2B"/>
    <w:rsid w:val="00D42CA0"/>
    <w:rsid w:val="00D4306E"/>
    <w:rsid w:val="00D431D4"/>
    <w:rsid w:val="00D435EB"/>
    <w:rsid w:val="00D43740"/>
    <w:rsid w:val="00D4380C"/>
    <w:rsid w:val="00D439A0"/>
    <w:rsid w:val="00D43AE4"/>
    <w:rsid w:val="00D44030"/>
    <w:rsid w:val="00D44047"/>
    <w:rsid w:val="00D4425F"/>
    <w:rsid w:val="00D44377"/>
    <w:rsid w:val="00D447AA"/>
    <w:rsid w:val="00D44C16"/>
    <w:rsid w:val="00D44C5A"/>
    <w:rsid w:val="00D44DA3"/>
    <w:rsid w:val="00D44E5E"/>
    <w:rsid w:val="00D44FEE"/>
    <w:rsid w:val="00D4519D"/>
    <w:rsid w:val="00D4524E"/>
    <w:rsid w:val="00D452D2"/>
    <w:rsid w:val="00D455E9"/>
    <w:rsid w:val="00D4578F"/>
    <w:rsid w:val="00D45966"/>
    <w:rsid w:val="00D45A68"/>
    <w:rsid w:val="00D45CC7"/>
    <w:rsid w:val="00D45E52"/>
    <w:rsid w:val="00D45EFD"/>
    <w:rsid w:val="00D460EC"/>
    <w:rsid w:val="00D462F7"/>
    <w:rsid w:val="00D4646B"/>
    <w:rsid w:val="00D4679A"/>
    <w:rsid w:val="00D46A80"/>
    <w:rsid w:val="00D46BA7"/>
    <w:rsid w:val="00D46C03"/>
    <w:rsid w:val="00D46D08"/>
    <w:rsid w:val="00D46D7A"/>
    <w:rsid w:val="00D46E08"/>
    <w:rsid w:val="00D47269"/>
    <w:rsid w:val="00D472A3"/>
    <w:rsid w:val="00D47714"/>
    <w:rsid w:val="00D47892"/>
    <w:rsid w:val="00D47B3E"/>
    <w:rsid w:val="00D47B9D"/>
    <w:rsid w:val="00D47C2E"/>
    <w:rsid w:val="00D47CE8"/>
    <w:rsid w:val="00D47D2E"/>
    <w:rsid w:val="00D47E62"/>
    <w:rsid w:val="00D47E78"/>
    <w:rsid w:val="00D501B2"/>
    <w:rsid w:val="00D5035A"/>
    <w:rsid w:val="00D5050B"/>
    <w:rsid w:val="00D50632"/>
    <w:rsid w:val="00D50668"/>
    <w:rsid w:val="00D507B3"/>
    <w:rsid w:val="00D509BC"/>
    <w:rsid w:val="00D50D10"/>
    <w:rsid w:val="00D50FAE"/>
    <w:rsid w:val="00D50FEC"/>
    <w:rsid w:val="00D511A5"/>
    <w:rsid w:val="00D5125B"/>
    <w:rsid w:val="00D51272"/>
    <w:rsid w:val="00D515E6"/>
    <w:rsid w:val="00D516B1"/>
    <w:rsid w:val="00D516BA"/>
    <w:rsid w:val="00D51763"/>
    <w:rsid w:val="00D51B06"/>
    <w:rsid w:val="00D51B89"/>
    <w:rsid w:val="00D51BD0"/>
    <w:rsid w:val="00D51F60"/>
    <w:rsid w:val="00D52558"/>
    <w:rsid w:val="00D525E4"/>
    <w:rsid w:val="00D5260A"/>
    <w:rsid w:val="00D52729"/>
    <w:rsid w:val="00D52A25"/>
    <w:rsid w:val="00D52BB3"/>
    <w:rsid w:val="00D52BEF"/>
    <w:rsid w:val="00D53109"/>
    <w:rsid w:val="00D531F8"/>
    <w:rsid w:val="00D5350F"/>
    <w:rsid w:val="00D535DA"/>
    <w:rsid w:val="00D53A81"/>
    <w:rsid w:val="00D53AB7"/>
    <w:rsid w:val="00D53AE7"/>
    <w:rsid w:val="00D53B19"/>
    <w:rsid w:val="00D53BD6"/>
    <w:rsid w:val="00D53C93"/>
    <w:rsid w:val="00D53D9E"/>
    <w:rsid w:val="00D53DCF"/>
    <w:rsid w:val="00D53EA2"/>
    <w:rsid w:val="00D54027"/>
    <w:rsid w:val="00D540C5"/>
    <w:rsid w:val="00D54141"/>
    <w:rsid w:val="00D54193"/>
    <w:rsid w:val="00D54326"/>
    <w:rsid w:val="00D5445C"/>
    <w:rsid w:val="00D546CC"/>
    <w:rsid w:val="00D54748"/>
    <w:rsid w:val="00D549D5"/>
    <w:rsid w:val="00D54C44"/>
    <w:rsid w:val="00D54EBA"/>
    <w:rsid w:val="00D5506F"/>
    <w:rsid w:val="00D5512A"/>
    <w:rsid w:val="00D551C5"/>
    <w:rsid w:val="00D551F0"/>
    <w:rsid w:val="00D5523B"/>
    <w:rsid w:val="00D55241"/>
    <w:rsid w:val="00D55304"/>
    <w:rsid w:val="00D55389"/>
    <w:rsid w:val="00D555EB"/>
    <w:rsid w:val="00D55688"/>
    <w:rsid w:val="00D55872"/>
    <w:rsid w:val="00D55EB0"/>
    <w:rsid w:val="00D55F02"/>
    <w:rsid w:val="00D55FCE"/>
    <w:rsid w:val="00D56189"/>
    <w:rsid w:val="00D561AF"/>
    <w:rsid w:val="00D563C8"/>
    <w:rsid w:val="00D56466"/>
    <w:rsid w:val="00D564DA"/>
    <w:rsid w:val="00D56AB1"/>
    <w:rsid w:val="00D56B06"/>
    <w:rsid w:val="00D56B2A"/>
    <w:rsid w:val="00D56BA4"/>
    <w:rsid w:val="00D56BDC"/>
    <w:rsid w:val="00D56D2E"/>
    <w:rsid w:val="00D5716F"/>
    <w:rsid w:val="00D571D1"/>
    <w:rsid w:val="00D572D4"/>
    <w:rsid w:val="00D572E7"/>
    <w:rsid w:val="00D573F8"/>
    <w:rsid w:val="00D576ED"/>
    <w:rsid w:val="00D578D1"/>
    <w:rsid w:val="00D579F5"/>
    <w:rsid w:val="00D57B94"/>
    <w:rsid w:val="00D57D65"/>
    <w:rsid w:val="00D60095"/>
    <w:rsid w:val="00D60355"/>
    <w:rsid w:val="00D6040B"/>
    <w:rsid w:val="00D60644"/>
    <w:rsid w:val="00D60E4F"/>
    <w:rsid w:val="00D61271"/>
    <w:rsid w:val="00D61340"/>
    <w:rsid w:val="00D61442"/>
    <w:rsid w:val="00D61605"/>
    <w:rsid w:val="00D61A4A"/>
    <w:rsid w:val="00D61C65"/>
    <w:rsid w:val="00D61EF9"/>
    <w:rsid w:val="00D6216E"/>
    <w:rsid w:val="00D621B1"/>
    <w:rsid w:val="00D62641"/>
    <w:rsid w:val="00D62784"/>
    <w:rsid w:val="00D627B9"/>
    <w:rsid w:val="00D628C6"/>
    <w:rsid w:val="00D62A7A"/>
    <w:rsid w:val="00D62B2A"/>
    <w:rsid w:val="00D62B8C"/>
    <w:rsid w:val="00D62BD1"/>
    <w:rsid w:val="00D62C0A"/>
    <w:rsid w:val="00D62CCE"/>
    <w:rsid w:val="00D62E6B"/>
    <w:rsid w:val="00D62F6B"/>
    <w:rsid w:val="00D63088"/>
    <w:rsid w:val="00D63209"/>
    <w:rsid w:val="00D6321D"/>
    <w:rsid w:val="00D63358"/>
    <w:rsid w:val="00D63522"/>
    <w:rsid w:val="00D63523"/>
    <w:rsid w:val="00D6353E"/>
    <w:rsid w:val="00D63713"/>
    <w:rsid w:val="00D63883"/>
    <w:rsid w:val="00D639C0"/>
    <w:rsid w:val="00D63AD6"/>
    <w:rsid w:val="00D63D59"/>
    <w:rsid w:val="00D63E7F"/>
    <w:rsid w:val="00D64053"/>
    <w:rsid w:val="00D64360"/>
    <w:rsid w:val="00D643A0"/>
    <w:rsid w:val="00D649DE"/>
    <w:rsid w:val="00D64D0E"/>
    <w:rsid w:val="00D64D49"/>
    <w:rsid w:val="00D64EF9"/>
    <w:rsid w:val="00D64F56"/>
    <w:rsid w:val="00D652F0"/>
    <w:rsid w:val="00D654C4"/>
    <w:rsid w:val="00D65865"/>
    <w:rsid w:val="00D658D6"/>
    <w:rsid w:val="00D65A4C"/>
    <w:rsid w:val="00D65AEE"/>
    <w:rsid w:val="00D65B1D"/>
    <w:rsid w:val="00D65B4B"/>
    <w:rsid w:val="00D65B9F"/>
    <w:rsid w:val="00D65D5F"/>
    <w:rsid w:val="00D65E37"/>
    <w:rsid w:val="00D665DF"/>
    <w:rsid w:val="00D66782"/>
    <w:rsid w:val="00D667B3"/>
    <w:rsid w:val="00D6692F"/>
    <w:rsid w:val="00D66A3F"/>
    <w:rsid w:val="00D66A5C"/>
    <w:rsid w:val="00D66BBE"/>
    <w:rsid w:val="00D66BE6"/>
    <w:rsid w:val="00D67074"/>
    <w:rsid w:val="00D67149"/>
    <w:rsid w:val="00D6724E"/>
    <w:rsid w:val="00D67576"/>
    <w:rsid w:val="00D676AF"/>
    <w:rsid w:val="00D676C4"/>
    <w:rsid w:val="00D67751"/>
    <w:rsid w:val="00D678FC"/>
    <w:rsid w:val="00D67958"/>
    <w:rsid w:val="00D679EF"/>
    <w:rsid w:val="00D67B28"/>
    <w:rsid w:val="00D67B89"/>
    <w:rsid w:val="00D67DD2"/>
    <w:rsid w:val="00D7002D"/>
    <w:rsid w:val="00D701B0"/>
    <w:rsid w:val="00D701D8"/>
    <w:rsid w:val="00D70537"/>
    <w:rsid w:val="00D70583"/>
    <w:rsid w:val="00D70843"/>
    <w:rsid w:val="00D70A72"/>
    <w:rsid w:val="00D70B4C"/>
    <w:rsid w:val="00D70C44"/>
    <w:rsid w:val="00D70F9D"/>
    <w:rsid w:val="00D70FCE"/>
    <w:rsid w:val="00D71234"/>
    <w:rsid w:val="00D714FE"/>
    <w:rsid w:val="00D715BD"/>
    <w:rsid w:val="00D71880"/>
    <w:rsid w:val="00D71882"/>
    <w:rsid w:val="00D718C7"/>
    <w:rsid w:val="00D71A0E"/>
    <w:rsid w:val="00D723AA"/>
    <w:rsid w:val="00D723B5"/>
    <w:rsid w:val="00D7260D"/>
    <w:rsid w:val="00D726F5"/>
    <w:rsid w:val="00D728F4"/>
    <w:rsid w:val="00D7292A"/>
    <w:rsid w:val="00D72C43"/>
    <w:rsid w:val="00D72C98"/>
    <w:rsid w:val="00D72DA7"/>
    <w:rsid w:val="00D72DE6"/>
    <w:rsid w:val="00D72F14"/>
    <w:rsid w:val="00D73009"/>
    <w:rsid w:val="00D730D3"/>
    <w:rsid w:val="00D73143"/>
    <w:rsid w:val="00D731C1"/>
    <w:rsid w:val="00D732B1"/>
    <w:rsid w:val="00D73400"/>
    <w:rsid w:val="00D73433"/>
    <w:rsid w:val="00D734D0"/>
    <w:rsid w:val="00D73511"/>
    <w:rsid w:val="00D73738"/>
    <w:rsid w:val="00D73815"/>
    <w:rsid w:val="00D73896"/>
    <w:rsid w:val="00D73A6F"/>
    <w:rsid w:val="00D73ACC"/>
    <w:rsid w:val="00D73E81"/>
    <w:rsid w:val="00D73F0E"/>
    <w:rsid w:val="00D7404A"/>
    <w:rsid w:val="00D74146"/>
    <w:rsid w:val="00D74416"/>
    <w:rsid w:val="00D749FE"/>
    <w:rsid w:val="00D74A95"/>
    <w:rsid w:val="00D74AB1"/>
    <w:rsid w:val="00D74F58"/>
    <w:rsid w:val="00D752B0"/>
    <w:rsid w:val="00D754DC"/>
    <w:rsid w:val="00D755BD"/>
    <w:rsid w:val="00D75614"/>
    <w:rsid w:val="00D757B4"/>
    <w:rsid w:val="00D75BAA"/>
    <w:rsid w:val="00D75D43"/>
    <w:rsid w:val="00D75E8B"/>
    <w:rsid w:val="00D75EB4"/>
    <w:rsid w:val="00D76090"/>
    <w:rsid w:val="00D762C4"/>
    <w:rsid w:val="00D7654A"/>
    <w:rsid w:val="00D765AE"/>
    <w:rsid w:val="00D76C03"/>
    <w:rsid w:val="00D76E77"/>
    <w:rsid w:val="00D77024"/>
    <w:rsid w:val="00D77093"/>
    <w:rsid w:val="00D7748E"/>
    <w:rsid w:val="00D775BE"/>
    <w:rsid w:val="00D77AA9"/>
    <w:rsid w:val="00D77B82"/>
    <w:rsid w:val="00D77C64"/>
    <w:rsid w:val="00D77D1D"/>
    <w:rsid w:val="00D77E68"/>
    <w:rsid w:val="00D80138"/>
    <w:rsid w:val="00D8024A"/>
    <w:rsid w:val="00D804DB"/>
    <w:rsid w:val="00D804E9"/>
    <w:rsid w:val="00D804FB"/>
    <w:rsid w:val="00D80654"/>
    <w:rsid w:val="00D80691"/>
    <w:rsid w:val="00D806CC"/>
    <w:rsid w:val="00D8095A"/>
    <w:rsid w:val="00D809DD"/>
    <w:rsid w:val="00D8119B"/>
    <w:rsid w:val="00D811FE"/>
    <w:rsid w:val="00D81322"/>
    <w:rsid w:val="00D81369"/>
    <w:rsid w:val="00D81470"/>
    <w:rsid w:val="00D8149E"/>
    <w:rsid w:val="00D81570"/>
    <w:rsid w:val="00D8160E"/>
    <w:rsid w:val="00D81830"/>
    <w:rsid w:val="00D818DF"/>
    <w:rsid w:val="00D81DC7"/>
    <w:rsid w:val="00D81E03"/>
    <w:rsid w:val="00D81F48"/>
    <w:rsid w:val="00D820B7"/>
    <w:rsid w:val="00D82383"/>
    <w:rsid w:val="00D8254E"/>
    <w:rsid w:val="00D82A5D"/>
    <w:rsid w:val="00D82BDE"/>
    <w:rsid w:val="00D82DAF"/>
    <w:rsid w:val="00D82ED1"/>
    <w:rsid w:val="00D82F6B"/>
    <w:rsid w:val="00D83359"/>
    <w:rsid w:val="00D836DA"/>
    <w:rsid w:val="00D83AA1"/>
    <w:rsid w:val="00D83EC9"/>
    <w:rsid w:val="00D84040"/>
    <w:rsid w:val="00D84081"/>
    <w:rsid w:val="00D840C1"/>
    <w:rsid w:val="00D84150"/>
    <w:rsid w:val="00D8422F"/>
    <w:rsid w:val="00D843C3"/>
    <w:rsid w:val="00D8452C"/>
    <w:rsid w:val="00D84BBE"/>
    <w:rsid w:val="00D84FB2"/>
    <w:rsid w:val="00D8519F"/>
    <w:rsid w:val="00D852B8"/>
    <w:rsid w:val="00D852C2"/>
    <w:rsid w:val="00D853BC"/>
    <w:rsid w:val="00D85465"/>
    <w:rsid w:val="00D857F4"/>
    <w:rsid w:val="00D85927"/>
    <w:rsid w:val="00D859D0"/>
    <w:rsid w:val="00D85CF4"/>
    <w:rsid w:val="00D85CF5"/>
    <w:rsid w:val="00D86AD4"/>
    <w:rsid w:val="00D86DBB"/>
    <w:rsid w:val="00D86E91"/>
    <w:rsid w:val="00D86E99"/>
    <w:rsid w:val="00D86F00"/>
    <w:rsid w:val="00D86F5A"/>
    <w:rsid w:val="00D8712B"/>
    <w:rsid w:val="00D87248"/>
    <w:rsid w:val="00D872D8"/>
    <w:rsid w:val="00D8732D"/>
    <w:rsid w:val="00D8758B"/>
    <w:rsid w:val="00D875F2"/>
    <w:rsid w:val="00D87669"/>
    <w:rsid w:val="00D879C9"/>
    <w:rsid w:val="00D879F9"/>
    <w:rsid w:val="00D87BC7"/>
    <w:rsid w:val="00D87C95"/>
    <w:rsid w:val="00D87F36"/>
    <w:rsid w:val="00D902C7"/>
    <w:rsid w:val="00D902DC"/>
    <w:rsid w:val="00D9034D"/>
    <w:rsid w:val="00D905E7"/>
    <w:rsid w:val="00D9064D"/>
    <w:rsid w:val="00D907D1"/>
    <w:rsid w:val="00D90D3F"/>
    <w:rsid w:val="00D90D87"/>
    <w:rsid w:val="00D914DE"/>
    <w:rsid w:val="00D91507"/>
    <w:rsid w:val="00D91809"/>
    <w:rsid w:val="00D91E8F"/>
    <w:rsid w:val="00D91F96"/>
    <w:rsid w:val="00D920FD"/>
    <w:rsid w:val="00D92580"/>
    <w:rsid w:val="00D92645"/>
    <w:rsid w:val="00D926EA"/>
    <w:rsid w:val="00D928DE"/>
    <w:rsid w:val="00D9290A"/>
    <w:rsid w:val="00D92B6C"/>
    <w:rsid w:val="00D92C8C"/>
    <w:rsid w:val="00D92CA0"/>
    <w:rsid w:val="00D9372C"/>
    <w:rsid w:val="00D9375F"/>
    <w:rsid w:val="00D937F2"/>
    <w:rsid w:val="00D938BD"/>
    <w:rsid w:val="00D93902"/>
    <w:rsid w:val="00D939AE"/>
    <w:rsid w:val="00D939BC"/>
    <w:rsid w:val="00D940BC"/>
    <w:rsid w:val="00D946A7"/>
    <w:rsid w:val="00D9499A"/>
    <w:rsid w:val="00D94C45"/>
    <w:rsid w:val="00D94E1E"/>
    <w:rsid w:val="00D94F10"/>
    <w:rsid w:val="00D94F7A"/>
    <w:rsid w:val="00D94F8A"/>
    <w:rsid w:val="00D95116"/>
    <w:rsid w:val="00D9528E"/>
    <w:rsid w:val="00D9555D"/>
    <w:rsid w:val="00D9557D"/>
    <w:rsid w:val="00D95636"/>
    <w:rsid w:val="00D9565A"/>
    <w:rsid w:val="00D957DC"/>
    <w:rsid w:val="00D95959"/>
    <w:rsid w:val="00D95ABD"/>
    <w:rsid w:val="00D95AF6"/>
    <w:rsid w:val="00D95EF1"/>
    <w:rsid w:val="00D9614F"/>
    <w:rsid w:val="00D961B9"/>
    <w:rsid w:val="00D961E7"/>
    <w:rsid w:val="00D96329"/>
    <w:rsid w:val="00D96516"/>
    <w:rsid w:val="00D9656F"/>
    <w:rsid w:val="00D9664A"/>
    <w:rsid w:val="00D96887"/>
    <w:rsid w:val="00D96A59"/>
    <w:rsid w:val="00D96CD9"/>
    <w:rsid w:val="00D96D35"/>
    <w:rsid w:val="00D97035"/>
    <w:rsid w:val="00D971E0"/>
    <w:rsid w:val="00D97971"/>
    <w:rsid w:val="00D97C51"/>
    <w:rsid w:val="00D97D07"/>
    <w:rsid w:val="00D97E11"/>
    <w:rsid w:val="00DA018B"/>
    <w:rsid w:val="00DA0250"/>
    <w:rsid w:val="00DA02DD"/>
    <w:rsid w:val="00DA04B9"/>
    <w:rsid w:val="00DA09CA"/>
    <w:rsid w:val="00DA0AC7"/>
    <w:rsid w:val="00DA0BD3"/>
    <w:rsid w:val="00DA0D1E"/>
    <w:rsid w:val="00DA0DAD"/>
    <w:rsid w:val="00DA0E10"/>
    <w:rsid w:val="00DA115D"/>
    <w:rsid w:val="00DA128F"/>
    <w:rsid w:val="00DA1671"/>
    <w:rsid w:val="00DA1AE0"/>
    <w:rsid w:val="00DA1DD6"/>
    <w:rsid w:val="00DA1F85"/>
    <w:rsid w:val="00DA2049"/>
    <w:rsid w:val="00DA21B3"/>
    <w:rsid w:val="00DA228F"/>
    <w:rsid w:val="00DA22FF"/>
    <w:rsid w:val="00DA23A0"/>
    <w:rsid w:val="00DA2600"/>
    <w:rsid w:val="00DA2805"/>
    <w:rsid w:val="00DA2C7B"/>
    <w:rsid w:val="00DA2F42"/>
    <w:rsid w:val="00DA30E7"/>
    <w:rsid w:val="00DA31F1"/>
    <w:rsid w:val="00DA341C"/>
    <w:rsid w:val="00DA349C"/>
    <w:rsid w:val="00DA3716"/>
    <w:rsid w:val="00DA3772"/>
    <w:rsid w:val="00DA37CA"/>
    <w:rsid w:val="00DA38A4"/>
    <w:rsid w:val="00DA3A24"/>
    <w:rsid w:val="00DA3B0D"/>
    <w:rsid w:val="00DA3FFA"/>
    <w:rsid w:val="00DA440A"/>
    <w:rsid w:val="00DA4674"/>
    <w:rsid w:val="00DA4689"/>
    <w:rsid w:val="00DA473A"/>
    <w:rsid w:val="00DA47CA"/>
    <w:rsid w:val="00DA490D"/>
    <w:rsid w:val="00DA496B"/>
    <w:rsid w:val="00DA4A2E"/>
    <w:rsid w:val="00DA4A5F"/>
    <w:rsid w:val="00DA4AD2"/>
    <w:rsid w:val="00DA4B91"/>
    <w:rsid w:val="00DA4F33"/>
    <w:rsid w:val="00DA51F2"/>
    <w:rsid w:val="00DA53D3"/>
    <w:rsid w:val="00DA5409"/>
    <w:rsid w:val="00DA547A"/>
    <w:rsid w:val="00DA5480"/>
    <w:rsid w:val="00DA5527"/>
    <w:rsid w:val="00DA5535"/>
    <w:rsid w:val="00DA5597"/>
    <w:rsid w:val="00DA5898"/>
    <w:rsid w:val="00DA5C22"/>
    <w:rsid w:val="00DA5C96"/>
    <w:rsid w:val="00DA5D5F"/>
    <w:rsid w:val="00DA5DB2"/>
    <w:rsid w:val="00DA5E56"/>
    <w:rsid w:val="00DA5F9E"/>
    <w:rsid w:val="00DA60FE"/>
    <w:rsid w:val="00DA61A2"/>
    <w:rsid w:val="00DA63B9"/>
    <w:rsid w:val="00DA63C5"/>
    <w:rsid w:val="00DA63CA"/>
    <w:rsid w:val="00DA6618"/>
    <w:rsid w:val="00DA6695"/>
    <w:rsid w:val="00DA6A73"/>
    <w:rsid w:val="00DA6B50"/>
    <w:rsid w:val="00DA6B99"/>
    <w:rsid w:val="00DA6BB2"/>
    <w:rsid w:val="00DA6CBA"/>
    <w:rsid w:val="00DA6D3D"/>
    <w:rsid w:val="00DA7277"/>
    <w:rsid w:val="00DA7302"/>
    <w:rsid w:val="00DA75B6"/>
    <w:rsid w:val="00DB0024"/>
    <w:rsid w:val="00DB0097"/>
    <w:rsid w:val="00DB0228"/>
    <w:rsid w:val="00DB0476"/>
    <w:rsid w:val="00DB04A3"/>
    <w:rsid w:val="00DB0707"/>
    <w:rsid w:val="00DB0B9B"/>
    <w:rsid w:val="00DB0EE7"/>
    <w:rsid w:val="00DB0FA7"/>
    <w:rsid w:val="00DB109F"/>
    <w:rsid w:val="00DB1366"/>
    <w:rsid w:val="00DB1396"/>
    <w:rsid w:val="00DB1656"/>
    <w:rsid w:val="00DB174A"/>
    <w:rsid w:val="00DB1911"/>
    <w:rsid w:val="00DB1D79"/>
    <w:rsid w:val="00DB1D93"/>
    <w:rsid w:val="00DB200D"/>
    <w:rsid w:val="00DB20F8"/>
    <w:rsid w:val="00DB2212"/>
    <w:rsid w:val="00DB27A1"/>
    <w:rsid w:val="00DB2BBA"/>
    <w:rsid w:val="00DB2C89"/>
    <w:rsid w:val="00DB2CA1"/>
    <w:rsid w:val="00DB2CA9"/>
    <w:rsid w:val="00DB2D31"/>
    <w:rsid w:val="00DB2E74"/>
    <w:rsid w:val="00DB3028"/>
    <w:rsid w:val="00DB34ED"/>
    <w:rsid w:val="00DB367D"/>
    <w:rsid w:val="00DB373B"/>
    <w:rsid w:val="00DB37A8"/>
    <w:rsid w:val="00DB37CC"/>
    <w:rsid w:val="00DB3C7D"/>
    <w:rsid w:val="00DB3C9E"/>
    <w:rsid w:val="00DB3E21"/>
    <w:rsid w:val="00DB43F7"/>
    <w:rsid w:val="00DB47F0"/>
    <w:rsid w:val="00DB4806"/>
    <w:rsid w:val="00DB4834"/>
    <w:rsid w:val="00DB48CF"/>
    <w:rsid w:val="00DB4943"/>
    <w:rsid w:val="00DB4D48"/>
    <w:rsid w:val="00DB4E04"/>
    <w:rsid w:val="00DB5024"/>
    <w:rsid w:val="00DB508B"/>
    <w:rsid w:val="00DB5590"/>
    <w:rsid w:val="00DB597E"/>
    <w:rsid w:val="00DB5A6C"/>
    <w:rsid w:val="00DB5C94"/>
    <w:rsid w:val="00DB5CA8"/>
    <w:rsid w:val="00DB60AA"/>
    <w:rsid w:val="00DB625A"/>
    <w:rsid w:val="00DB64BA"/>
    <w:rsid w:val="00DB6515"/>
    <w:rsid w:val="00DB6818"/>
    <w:rsid w:val="00DB6AD6"/>
    <w:rsid w:val="00DB6B71"/>
    <w:rsid w:val="00DB6B96"/>
    <w:rsid w:val="00DB6BBE"/>
    <w:rsid w:val="00DB6D0C"/>
    <w:rsid w:val="00DB71D0"/>
    <w:rsid w:val="00DB7A10"/>
    <w:rsid w:val="00DB7A32"/>
    <w:rsid w:val="00DB7A95"/>
    <w:rsid w:val="00DB7BA2"/>
    <w:rsid w:val="00DB7C1B"/>
    <w:rsid w:val="00DB7DFF"/>
    <w:rsid w:val="00DB7E97"/>
    <w:rsid w:val="00DB7EF8"/>
    <w:rsid w:val="00DB7F85"/>
    <w:rsid w:val="00DC00C9"/>
    <w:rsid w:val="00DC010D"/>
    <w:rsid w:val="00DC011C"/>
    <w:rsid w:val="00DC01D6"/>
    <w:rsid w:val="00DC0761"/>
    <w:rsid w:val="00DC07FA"/>
    <w:rsid w:val="00DC08AD"/>
    <w:rsid w:val="00DC0B57"/>
    <w:rsid w:val="00DC1063"/>
    <w:rsid w:val="00DC10C0"/>
    <w:rsid w:val="00DC15FC"/>
    <w:rsid w:val="00DC17F2"/>
    <w:rsid w:val="00DC19DB"/>
    <w:rsid w:val="00DC1A41"/>
    <w:rsid w:val="00DC1A81"/>
    <w:rsid w:val="00DC1EA0"/>
    <w:rsid w:val="00DC1ECF"/>
    <w:rsid w:val="00DC2090"/>
    <w:rsid w:val="00DC20DF"/>
    <w:rsid w:val="00DC2100"/>
    <w:rsid w:val="00DC21AD"/>
    <w:rsid w:val="00DC254E"/>
    <w:rsid w:val="00DC26AA"/>
    <w:rsid w:val="00DC2AB0"/>
    <w:rsid w:val="00DC2BE7"/>
    <w:rsid w:val="00DC2C94"/>
    <w:rsid w:val="00DC2D9A"/>
    <w:rsid w:val="00DC2DF0"/>
    <w:rsid w:val="00DC2F0D"/>
    <w:rsid w:val="00DC32B9"/>
    <w:rsid w:val="00DC3455"/>
    <w:rsid w:val="00DC363E"/>
    <w:rsid w:val="00DC3848"/>
    <w:rsid w:val="00DC3A16"/>
    <w:rsid w:val="00DC3A19"/>
    <w:rsid w:val="00DC3A85"/>
    <w:rsid w:val="00DC3A92"/>
    <w:rsid w:val="00DC3E78"/>
    <w:rsid w:val="00DC401B"/>
    <w:rsid w:val="00DC4043"/>
    <w:rsid w:val="00DC41C5"/>
    <w:rsid w:val="00DC45C8"/>
    <w:rsid w:val="00DC4605"/>
    <w:rsid w:val="00DC4697"/>
    <w:rsid w:val="00DC47A4"/>
    <w:rsid w:val="00DC4F5B"/>
    <w:rsid w:val="00DC4F8D"/>
    <w:rsid w:val="00DC502E"/>
    <w:rsid w:val="00DC5186"/>
    <w:rsid w:val="00DC56AA"/>
    <w:rsid w:val="00DC5791"/>
    <w:rsid w:val="00DC5805"/>
    <w:rsid w:val="00DC5976"/>
    <w:rsid w:val="00DC5A53"/>
    <w:rsid w:val="00DC5A69"/>
    <w:rsid w:val="00DC5AA1"/>
    <w:rsid w:val="00DC5E40"/>
    <w:rsid w:val="00DC5E68"/>
    <w:rsid w:val="00DC5F1B"/>
    <w:rsid w:val="00DC600B"/>
    <w:rsid w:val="00DC6255"/>
    <w:rsid w:val="00DC65C9"/>
    <w:rsid w:val="00DC66DD"/>
    <w:rsid w:val="00DC6818"/>
    <w:rsid w:val="00DC6958"/>
    <w:rsid w:val="00DC6BBE"/>
    <w:rsid w:val="00DC6DB3"/>
    <w:rsid w:val="00DC6E03"/>
    <w:rsid w:val="00DC6E8B"/>
    <w:rsid w:val="00DC6ED1"/>
    <w:rsid w:val="00DC6F8B"/>
    <w:rsid w:val="00DC7007"/>
    <w:rsid w:val="00DC727A"/>
    <w:rsid w:val="00DC7311"/>
    <w:rsid w:val="00DC737C"/>
    <w:rsid w:val="00DC7479"/>
    <w:rsid w:val="00DC7B5A"/>
    <w:rsid w:val="00DC7CE4"/>
    <w:rsid w:val="00DD0065"/>
    <w:rsid w:val="00DD02FA"/>
    <w:rsid w:val="00DD0398"/>
    <w:rsid w:val="00DD03D2"/>
    <w:rsid w:val="00DD0444"/>
    <w:rsid w:val="00DD0509"/>
    <w:rsid w:val="00DD06EF"/>
    <w:rsid w:val="00DD0A42"/>
    <w:rsid w:val="00DD0A4E"/>
    <w:rsid w:val="00DD0CFE"/>
    <w:rsid w:val="00DD0FC2"/>
    <w:rsid w:val="00DD0FE8"/>
    <w:rsid w:val="00DD1050"/>
    <w:rsid w:val="00DD1109"/>
    <w:rsid w:val="00DD15FF"/>
    <w:rsid w:val="00DD17E6"/>
    <w:rsid w:val="00DD1AB0"/>
    <w:rsid w:val="00DD1BCB"/>
    <w:rsid w:val="00DD1E35"/>
    <w:rsid w:val="00DD2303"/>
    <w:rsid w:val="00DD248C"/>
    <w:rsid w:val="00DD261A"/>
    <w:rsid w:val="00DD269C"/>
    <w:rsid w:val="00DD26F7"/>
    <w:rsid w:val="00DD275B"/>
    <w:rsid w:val="00DD2A0C"/>
    <w:rsid w:val="00DD2AE9"/>
    <w:rsid w:val="00DD2C7F"/>
    <w:rsid w:val="00DD2ED6"/>
    <w:rsid w:val="00DD2FAF"/>
    <w:rsid w:val="00DD3013"/>
    <w:rsid w:val="00DD30EE"/>
    <w:rsid w:val="00DD316C"/>
    <w:rsid w:val="00DD3699"/>
    <w:rsid w:val="00DD38E2"/>
    <w:rsid w:val="00DD38FC"/>
    <w:rsid w:val="00DD3A18"/>
    <w:rsid w:val="00DD3BB7"/>
    <w:rsid w:val="00DD3BEC"/>
    <w:rsid w:val="00DD3CFE"/>
    <w:rsid w:val="00DD42C4"/>
    <w:rsid w:val="00DD4434"/>
    <w:rsid w:val="00DD45BF"/>
    <w:rsid w:val="00DD4704"/>
    <w:rsid w:val="00DD47F6"/>
    <w:rsid w:val="00DD487E"/>
    <w:rsid w:val="00DD48FC"/>
    <w:rsid w:val="00DD49C9"/>
    <w:rsid w:val="00DD49E7"/>
    <w:rsid w:val="00DD4B32"/>
    <w:rsid w:val="00DD5229"/>
    <w:rsid w:val="00DD569D"/>
    <w:rsid w:val="00DD5774"/>
    <w:rsid w:val="00DD5866"/>
    <w:rsid w:val="00DD5C08"/>
    <w:rsid w:val="00DD5C30"/>
    <w:rsid w:val="00DD5C6F"/>
    <w:rsid w:val="00DD5CED"/>
    <w:rsid w:val="00DD5D03"/>
    <w:rsid w:val="00DD66FC"/>
    <w:rsid w:val="00DD6961"/>
    <w:rsid w:val="00DD6C1C"/>
    <w:rsid w:val="00DD6F1B"/>
    <w:rsid w:val="00DD6F4B"/>
    <w:rsid w:val="00DD6FB2"/>
    <w:rsid w:val="00DD701C"/>
    <w:rsid w:val="00DD70D5"/>
    <w:rsid w:val="00DD7119"/>
    <w:rsid w:val="00DD7189"/>
    <w:rsid w:val="00DD7372"/>
    <w:rsid w:val="00DD7738"/>
    <w:rsid w:val="00DD7DB1"/>
    <w:rsid w:val="00DD7E4A"/>
    <w:rsid w:val="00DE00E5"/>
    <w:rsid w:val="00DE020D"/>
    <w:rsid w:val="00DE0242"/>
    <w:rsid w:val="00DE031A"/>
    <w:rsid w:val="00DE05D2"/>
    <w:rsid w:val="00DE07F4"/>
    <w:rsid w:val="00DE08A3"/>
    <w:rsid w:val="00DE08DB"/>
    <w:rsid w:val="00DE0A41"/>
    <w:rsid w:val="00DE0AFD"/>
    <w:rsid w:val="00DE0C52"/>
    <w:rsid w:val="00DE0EB3"/>
    <w:rsid w:val="00DE1423"/>
    <w:rsid w:val="00DE1676"/>
    <w:rsid w:val="00DE1E39"/>
    <w:rsid w:val="00DE1FED"/>
    <w:rsid w:val="00DE207F"/>
    <w:rsid w:val="00DE24E5"/>
    <w:rsid w:val="00DE26BA"/>
    <w:rsid w:val="00DE27FB"/>
    <w:rsid w:val="00DE2943"/>
    <w:rsid w:val="00DE2B45"/>
    <w:rsid w:val="00DE2CA9"/>
    <w:rsid w:val="00DE2CB1"/>
    <w:rsid w:val="00DE2E8B"/>
    <w:rsid w:val="00DE2ED1"/>
    <w:rsid w:val="00DE3010"/>
    <w:rsid w:val="00DE31EB"/>
    <w:rsid w:val="00DE35B5"/>
    <w:rsid w:val="00DE36FA"/>
    <w:rsid w:val="00DE37F6"/>
    <w:rsid w:val="00DE385F"/>
    <w:rsid w:val="00DE3A94"/>
    <w:rsid w:val="00DE3AF7"/>
    <w:rsid w:val="00DE3BA8"/>
    <w:rsid w:val="00DE3D23"/>
    <w:rsid w:val="00DE3D9D"/>
    <w:rsid w:val="00DE42B8"/>
    <w:rsid w:val="00DE4568"/>
    <w:rsid w:val="00DE45A7"/>
    <w:rsid w:val="00DE465A"/>
    <w:rsid w:val="00DE492E"/>
    <w:rsid w:val="00DE4A91"/>
    <w:rsid w:val="00DE4B08"/>
    <w:rsid w:val="00DE4CAD"/>
    <w:rsid w:val="00DE4F46"/>
    <w:rsid w:val="00DE5101"/>
    <w:rsid w:val="00DE5640"/>
    <w:rsid w:val="00DE56A7"/>
    <w:rsid w:val="00DE56F3"/>
    <w:rsid w:val="00DE5AE2"/>
    <w:rsid w:val="00DE5C32"/>
    <w:rsid w:val="00DE5C9F"/>
    <w:rsid w:val="00DE5D97"/>
    <w:rsid w:val="00DE607C"/>
    <w:rsid w:val="00DE60AC"/>
    <w:rsid w:val="00DE61C6"/>
    <w:rsid w:val="00DE620C"/>
    <w:rsid w:val="00DE62EB"/>
    <w:rsid w:val="00DE640F"/>
    <w:rsid w:val="00DE64D2"/>
    <w:rsid w:val="00DE67AB"/>
    <w:rsid w:val="00DE6B51"/>
    <w:rsid w:val="00DE6BE3"/>
    <w:rsid w:val="00DE6C59"/>
    <w:rsid w:val="00DE6C74"/>
    <w:rsid w:val="00DE6D7B"/>
    <w:rsid w:val="00DE6F8F"/>
    <w:rsid w:val="00DE6FF5"/>
    <w:rsid w:val="00DE7100"/>
    <w:rsid w:val="00DE720C"/>
    <w:rsid w:val="00DE72A0"/>
    <w:rsid w:val="00DE793A"/>
    <w:rsid w:val="00DE7A1E"/>
    <w:rsid w:val="00DE7C79"/>
    <w:rsid w:val="00DE7F1C"/>
    <w:rsid w:val="00DE7FFC"/>
    <w:rsid w:val="00DF0129"/>
    <w:rsid w:val="00DF0173"/>
    <w:rsid w:val="00DF02D6"/>
    <w:rsid w:val="00DF0544"/>
    <w:rsid w:val="00DF0668"/>
    <w:rsid w:val="00DF0778"/>
    <w:rsid w:val="00DF0834"/>
    <w:rsid w:val="00DF08F5"/>
    <w:rsid w:val="00DF0BB2"/>
    <w:rsid w:val="00DF0E3E"/>
    <w:rsid w:val="00DF0F75"/>
    <w:rsid w:val="00DF1028"/>
    <w:rsid w:val="00DF110F"/>
    <w:rsid w:val="00DF1516"/>
    <w:rsid w:val="00DF15E0"/>
    <w:rsid w:val="00DF1769"/>
    <w:rsid w:val="00DF1C23"/>
    <w:rsid w:val="00DF1D80"/>
    <w:rsid w:val="00DF1EB1"/>
    <w:rsid w:val="00DF2044"/>
    <w:rsid w:val="00DF21D5"/>
    <w:rsid w:val="00DF2408"/>
    <w:rsid w:val="00DF25DF"/>
    <w:rsid w:val="00DF2626"/>
    <w:rsid w:val="00DF2882"/>
    <w:rsid w:val="00DF2965"/>
    <w:rsid w:val="00DF2A40"/>
    <w:rsid w:val="00DF2D58"/>
    <w:rsid w:val="00DF3033"/>
    <w:rsid w:val="00DF330B"/>
    <w:rsid w:val="00DF3330"/>
    <w:rsid w:val="00DF33BE"/>
    <w:rsid w:val="00DF35F1"/>
    <w:rsid w:val="00DF3600"/>
    <w:rsid w:val="00DF3675"/>
    <w:rsid w:val="00DF3728"/>
    <w:rsid w:val="00DF3977"/>
    <w:rsid w:val="00DF397B"/>
    <w:rsid w:val="00DF39C9"/>
    <w:rsid w:val="00DF3B0C"/>
    <w:rsid w:val="00DF3B91"/>
    <w:rsid w:val="00DF3EF3"/>
    <w:rsid w:val="00DF3F46"/>
    <w:rsid w:val="00DF4114"/>
    <w:rsid w:val="00DF425B"/>
    <w:rsid w:val="00DF4604"/>
    <w:rsid w:val="00DF4643"/>
    <w:rsid w:val="00DF47A9"/>
    <w:rsid w:val="00DF4997"/>
    <w:rsid w:val="00DF499A"/>
    <w:rsid w:val="00DF4C73"/>
    <w:rsid w:val="00DF4C7B"/>
    <w:rsid w:val="00DF4DB2"/>
    <w:rsid w:val="00DF5430"/>
    <w:rsid w:val="00DF55F4"/>
    <w:rsid w:val="00DF5BE5"/>
    <w:rsid w:val="00DF5C14"/>
    <w:rsid w:val="00DF5F01"/>
    <w:rsid w:val="00DF5F13"/>
    <w:rsid w:val="00DF5FF9"/>
    <w:rsid w:val="00DF6014"/>
    <w:rsid w:val="00DF603D"/>
    <w:rsid w:val="00DF6290"/>
    <w:rsid w:val="00DF6548"/>
    <w:rsid w:val="00DF6610"/>
    <w:rsid w:val="00DF664D"/>
    <w:rsid w:val="00DF690B"/>
    <w:rsid w:val="00DF691B"/>
    <w:rsid w:val="00DF6AEE"/>
    <w:rsid w:val="00DF6BF0"/>
    <w:rsid w:val="00DF6C12"/>
    <w:rsid w:val="00DF6CBA"/>
    <w:rsid w:val="00DF6DD9"/>
    <w:rsid w:val="00DF6DFA"/>
    <w:rsid w:val="00DF6E98"/>
    <w:rsid w:val="00DF6F77"/>
    <w:rsid w:val="00DF70E3"/>
    <w:rsid w:val="00DF722E"/>
    <w:rsid w:val="00DF72E5"/>
    <w:rsid w:val="00DF739D"/>
    <w:rsid w:val="00DF73F1"/>
    <w:rsid w:val="00DF74A9"/>
    <w:rsid w:val="00DF772F"/>
    <w:rsid w:val="00DF7766"/>
    <w:rsid w:val="00DF7C56"/>
    <w:rsid w:val="00DF7DFD"/>
    <w:rsid w:val="00E00311"/>
    <w:rsid w:val="00E00339"/>
    <w:rsid w:val="00E00552"/>
    <w:rsid w:val="00E005D3"/>
    <w:rsid w:val="00E00987"/>
    <w:rsid w:val="00E00ABA"/>
    <w:rsid w:val="00E00BF0"/>
    <w:rsid w:val="00E00C41"/>
    <w:rsid w:val="00E00D27"/>
    <w:rsid w:val="00E0153A"/>
    <w:rsid w:val="00E0170D"/>
    <w:rsid w:val="00E01BC7"/>
    <w:rsid w:val="00E01C0E"/>
    <w:rsid w:val="00E01EC6"/>
    <w:rsid w:val="00E0202A"/>
    <w:rsid w:val="00E0228E"/>
    <w:rsid w:val="00E02483"/>
    <w:rsid w:val="00E02B31"/>
    <w:rsid w:val="00E02D4D"/>
    <w:rsid w:val="00E0301D"/>
    <w:rsid w:val="00E032BA"/>
    <w:rsid w:val="00E033CC"/>
    <w:rsid w:val="00E035BB"/>
    <w:rsid w:val="00E03682"/>
    <w:rsid w:val="00E0378F"/>
    <w:rsid w:val="00E0387B"/>
    <w:rsid w:val="00E03A4E"/>
    <w:rsid w:val="00E03C45"/>
    <w:rsid w:val="00E03C86"/>
    <w:rsid w:val="00E03CE4"/>
    <w:rsid w:val="00E0406C"/>
    <w:rsid w:val="00E04213"/>
    <w:rsid w:val="00E0433C"/>
    <w:rsid w:val="00E04B45"/>
    <w:rsid w:val="00E04DEC"/>
    <w:rsid w:val="00E04E51"/>
    <w:rsid w:val="00E04ED2"/>
    <w:rsid w:val="00E0508F"/>
    <w:rsid w:val="00E05111"/>
    <w:rsid w:val="00E05131"/>
    <w:rsid w:val="00E05356"/>
    <w:rsid w:val="00E0558B"/>
    <w:rsid w:val="00E05690"/>
    <w:rsid w:val="00E05758"/>
    <w:rsid w:val="00E0575F"/>
    <w:rsid w:val="00E0586C"/>
    <w:rsid w:val="00E05E07"/>
    <w:rsid w:val="00E05E2F"/>
    <w:rsid w:val="00E0607C"/>
    <w:rsid w:val="00E060AF"/>
    <w:rsid w:val="00E0635E"/>
    <w:rsid w:val="00E06438"/>
    <w:rsid w:val="00E065A2"/>
    <w:rsid w:val="00E067E0"/>
    <w:rsid w:val="00E0692E"/>
    <w:rsid w:val="00E069E3"/>
    <w:rsid w:val="00E06A7A"/>
    <w:rsid w:val="00E06CA7"/>
    <w:rsid w:val="00E06FD6"/>
    <w:rsid w:val="00E0705C"/>
    <w:rsid w:val="00E07256"/>
    <w:rsid w:val="00E072D2"/>
    <w:rsid w:val="00E07620"/>
    <w:rsid w:val="00E0763A"/>
    <w:rsid w:val="00E07695"/>
    <w:rsid w:val="00E076D3"/>
    <w:rsid w:val="00E078B5"/>
    <w:rsid w:val="00E07AE9"/>
    <w:rsid w:val="00E07F54"/>
    <w:rsid w:val="00E07F89"/>
    <w:rsid w:val="00E103EF"/>
    <w:rsid w:val="00E106F4"/>
    <w:rsid w:val="00E10760"/>
    <w:rsid w:val="00E10A3F"/>
    <w:rsid w:val="00E10DAC"/>
    <w:rsid w:val="00E10E13"/>
    <w:rsid w:val="00E10EDA"/>
    <w:rsid w:val="00E10EE2"/>
    <w:rsid w:val="00E10EFB"/>
    <w:rsid w:val="00E10FEB"/>
    <w:rsid w:val="00E1101C"/>
    <w:rsid w:val="00E11169"/>
    <w:rsid w:val="00E11227"/>
    <w:rsid w:val="00E11244"/>
    <w:rsid w:val="00E11380"/>
    <w:rsid w:val="00E113D3"/>
    <w:rsid w:val="00E1142A"/>
    <w:rsid w:val="00E114AC"/>
    <w:rsid w:val="00E1169F"/>
    <w:rsid w:val="00E117F3"/>
    <w:rsid w:val="00E11899"/>
    <w:rsid w:val="00E1199C"/>
    <w:rsid w:val="00E11C18"/>
    <w:rsid w:val="00E11D73"/>
    <w:rsid w:val="00E120A7"/>
    <w:rsid w:val="00E1223D"/>
    <w:rsid w:val="00E12317"/>
    <w:rsid w:val="00E1258F"/>
    <w:rsid w:val="00E12950"/>
    <w:rsid w:val="00E12CB9"/>
    <w:rsid w:val="00E131BD"/>
    <w:rsid w:val="00E137BE"/>
    <w:rsid w:val="00E139E1"/>
    <w:rsid w:val="00E13A45"/>
    <w:rsid w:val="00E13D57"/>
    <w:rsid w:val="00E13F79"/>
    <w:rsid w:val="00E1412A"/>
    <w:rsid w:val="00E141C7"/>
    <w:rsid w:val="00E14230"/>
    <w:rsid w:val="00E143A8"/>
    <w:rsid w:val="00E144F6"/>
    <w:rsid w:val="00E1456B"/>
    <w:rsid w:val="00E14755"/>
    <w:rsid w:val="00E14869"/>
    <w:rsid w:val="00E14AC0"/>
    <w:rsid w:val="00E14B9B"/>
    <w:rsid w:val="00E14DBE"/>
    <w:rsid w:val="00E14E7F"/>
    <w:rsid w:val="00E14EDF"/>
    <w:rsid w:val="00E14F7C"/>
    <w:rsid w:val="00E150CB"/>
    <w:rsid w:val="00E15103"/>
    <w:rsid w:val="00E152A6"/>
    <w:rsid w:val="00E154B6"/>
    <w:rsid w:val="00E1555C"/>
    <w:rsid w:val="00E15763"/>
    <w:rsid w:val="00E158FF"/>
    <w:rsid w:val="00E15A9C"/>
    <w:rsid w:val="00E15ABE"/>
    <w:rsid w:val="00E15B0F"/>
    <w:rsid w:val="00E15D3B"/>
    <w:rsid w:val="00E15EA2"/>
    <w:rsid w:val="00E16024"/>
    <w:rsid w:val="00E1610A"/>
    <w:rsid w:val="00E16270"/>
    <w:rsid w:val="00E16686"/>
    <w:rsid w:val="00E166B1"/>
    <w:rsid w:val="00E16754"/>
    <w:rsid w:val="00E16767"/>
    <w:rsid w:val="00E169CC"/>
    <w:rsid w:val="00E16D3E"/>
    <w:rsid w:val="00E16F72"/>
    <w:rsid w:val="00E17052"/>
    <w:rsid w:val="00E171E2"/>
    <w:rsid w:val="00E1722D"/>
    <w:rsid w:val="00E17407"/>
    <w:rsid w:val="00E176E7"/>
    <w:rsid w:val="00E20132"/>
    <w:rsid w:val="00E20255"/>
    <w:rsid w:val="00E2037F"/>
    <w:rsid w:val="00E2054D"/>
    <w:rsid w:val="00E206A5"/>
    <w:rsid w:val="00E20801"/>
    <w:rsid w:val="00E2088E"/>
    <w:rsid w:val="00E20EA6"/>
    <w:rsid w:val="00E21102"/>
    <w:rsid w:val="00E213E5"/>
    <w:rsid w:val="00E21589"/>
    <w:rsid w:val="00E216F3"/>
    <w:rsid w:val="00E219D9"/>
    <w:rsid w:val="00E21A29"/>
    <w:rsid w:val="00E21A52"/>
    <w:rsid w:val="00E21FB9"/>
    <w:rsid w:val="00E2209B"/>
    <w:rsid w:val="00E222B1"/>
    <w:rsid w:val="00E2247E"/>
    <w:rsid w:val="00E224EB"/>
    <w:rsid w:val="00E228D4"/>
    <w:rsid w:val="00E229B9"/>
    <w:rsid w:val="00E22A22"/>
    <w:rsid w:val="00E22ADA"/>
    <w:rsid w:val="00E22BE0"/>
    <w:rsid w:val="00E22CAA"/>
    <w:rsid w:val="00E22CAB"/>
    <w:rsid w:val="00E22E1A"/>
    <w:rsid w:val="00E22F88"/>
    <w:rsid w:val="00E23237"/>
    <w:rsid w:val="00E23347"/>
    <w:rsid w:val="00E23377"/>
    <w:rsid w:val="00E234BF"/>
    <w:rsid w:val="00E2365A"/>
    <w:rsid w:val="00E23712"/>
    <w:rsid w:val="00E23DD2"/>
    <w:rsid w:val="00E23DE2"/>
    <w:rsid w:val="00E23F6A"/>
    <w:rsid w:val="00E2433D"/>
    <w:rsid w:val="00E24453"/>
    <w:rsid w:val="00E247F9"/>
    <w:rsid w:val="00E24959"/>
    <w:rsid w:val="00E24C0E"/>
    <w:rsid w:val="00E24C37"/>
    <w:rsid w:val="00E24C83"/>
    <w:rsid w:val="00E24CA1"/>
    <w:rsid w:val="00E24E35"/>
    <w:rsid w:val="00E24E75"/>
    <w:rsid w:val="00E24EAE"/>
    <w:rsid w:val="00E25167"/>
    <w:rsid w:val="00E251C0"/>
    <w:rsid w:val="00E25636"/>
    <w:rsid w:val="00E256EE"/>
    <w:rsid w:val="00E25A32"/>
    <w:rsid w:val="00E25F0A"/>
    <w:rsid w:val="00E25F17"/>
    <w:rsid w:val="00E25F90"/>
    <w:rsid w:val="00E26090"/>
    <w:rsid w:val="00E2652E"/>
    <w:rsid w:val="00E265F5"/>
    <w:rsid w:val="00E26867"/>
    <w:rsid w:val="00E26914"/>
    <w:rsid w:val="00E26A9C"/>
    <w:rsid w:val="00E26E0A"/>
    <w:rsid w:val="00E26E0F"/>
    <w:rsid w:val="00E270FD"/>
    <w:rsid w:val="00E271E7"/>
    <w:rsid w:val="00E278BA"/>
    <w:rsid w:val="00E27990"/>
    <w:rsid w:val="00E27C86"/>
    <w:rsid w:val="00E27DD8"/>
    <w:rsid w:val="00E27E24"/>
    <w:rsid w:val="00E27EB3"/>
    <w:rsid w:val="00E3012A"/>
    <w:rsid w:val="00E307CC"/>
    <w:rsid w:val="00E3101F"/>
    <w:rsid w:val="00E31231"/>
    <w:rsid w:val="00E315F1"/>
    <w:rsid w:val="00E3183C"/>
    <w:rsid w:val="00E31AD7"/>
    <w:rsid w:val="00E32185"/>
    <w:rsid w:val="00E321B2"/>
    <w:rsid w:val="00E321C3"/>
    <w:rsid w:val="00E321C5"/>
    <w:rsid w:val="00E321E1"/>
    <w:rsid w:val="00E32655"/>
    <w:rsid w:val="00E3287C"/>
    <w:rsid w:val="00E329ED"/>
    <w:rsid w:val="00E32A22"/>
    <w:rsid w:val="00E32B4D"/>
    <w:rsid w:val="00E32E4E"/>
    <w:rsid w:val="00E32F31"/>
    <w:rsid w:val="00E32FE3"/>
    <w:rsid w:val="00E33050"/>
    <w:rsid w:val="00E330D6"/>
    <w:rsid w:val="00E33221"/>
    <w:rsid w:val="00E33371"/>
    <w:rsid w:val="00E3343C"/>
    <w:rsid w:val="00E33C23"/>
    <w:rsid w:val="00E33D4D"/>
    <w:rsid w:val="00E33F38"/>
    <w:rsid w:val="00E33FDF"/>
    <w:rsid w:val="00E33FEB"/>
    <w:rsid w:val="00E33FEC"/>
    <w:rsid w:val="00E3415B"/>
    <w:rsid w:val="00E3432B"/>
    <w:rsid w:val="00E344F6"/>
    <w:rsid w:val="00E34736"/>
    <w:rsid w:val="00E34833"/>
    <w:rsid w:val="00E34852"/>
    <w:rsid w:val="00E34A03"/>
    <w:rsid w:val="00E34A90"/>
    <w:rsid w:val="00E34DB7"/>
    <w:rsid w:val="00E34DB9"/>
    <w:rsid w:val="00E34DCB"/>
    <w:rsid w:val="00E350C9"/>
    <w:rsid w:val="00E351AD"/>
    <w:rsid w:val="00E354CC"/>
    <w:rsid w:val="00E3555A"/>
    <w:rsid w:val="00E355EA"/>
    <w:rsid w:val="00E356F0"/>
    <w:rsid w:val="00E35700"/>
    <w:rsid w:val="00E35985"/>
    <w:rsid w:val="00E359F6"/>
    <w:rsid w:val="00E35A61"/>
    <w:rsid w:val="00E35A89"/>
    <w:rsid w:val="00E35ABF"/>
    <w:rsid w:val="00E35BEA"/>
    <w:rsid w:val="00E35E58"/>
    <w:rsid w:val="00E35E74"/>
    <w:rsid w:val="00E36069"/>
    <w:rsid w:val="00E3682F"/>
    <w:rsid w:val="00E36AF6"/>
    <w:rsid w:val="00E36B22"/>
    <w:rsid w:val="00E36D73"/>
    <w:rsid w:val="00E36EB0"/>
    <w:rsid w:val="00E37400"/>
    <w:rsid w:val="00E37425"/>
    <w:rsid w:val="00E374F2"/>
    <w:rsid w:val="00E37512"/>
    <w:rsid w:val="00E37A4B"/>
    <w:rsid w:val="00E37B29"/>
    <w:rsid w:val="00E37B73"/>
    <w:rsid w:val="00E37D2C"/>
    <w:rsid w:val="00E37D4B"/>
    <w:rsid w:val="00E37FB7"/>
    <w:rsid w:val="00E400AC"/>
    <w:rsid w:val="00E401F1"/>
    <w:rsid w:val="00E40244"/>
    <w:rsid w:val="00E403B1"/>
    <w:rsid w:val="00E403EF"/>
    <w:rsid w:val="00E4052E"/>
    <w:rsid w:val="00E408E2"/>
    <w:rsid w:val="00E40B04"/>
    <w:rsid w:val="00E40BD1"/>
    <w:rsid w:val="00E40F11"/>
    <w:rsid w:val="00E40F94"/>
    <w:rsid w:val="00E4119D"/>
    <w:rsid w:val="00E41644"/>
    <w:rsid w:val="00E41755"/>
    <w:rsid w:val="00E41A7F"/>
    <w:rsid w:val="00E41FB3"/>
    <w:rsid w:val="00E42065"/>
    <w:rsid w:val="00E4207B"/>
    <w:rsid w:val="00E42193"/>
    <w:rsid w:val="00E424A0"/>
    <w:rsid w:val="00E42573"/>
    <w:rsid w:val="00E425F4"/>
    <w:rsid w:val="00E42827"/>
    <w:rsid w:val="00E42878"/>
    <w:rsid w:val="00E42C48"/>
    <w:rsid w:val="00E42ED8"/>
    <w:rsid w:val="00E42ED9"/>
    <w:rsid w:val="00E42EF5"/>
    <w:rsid w:val="00E430AD"/>
    <w:rsid w:val="00E431B4"/>
    <w:rsid w:val="00E4365B"/>
    <w:rsid w:val="00E43796"/>
    <w:rsid w:val="00E43872"/>
    <w:rsid w:val="00E43D00"/>
    <w:rsid w:val="00E43D43"/>
    <w:rsid w:val="00E43E89"/>
    <w:rsid w:val="00E43EDB"/>
    <w:rsid w:val="00E44149"/>
    <w:rsid w:val="00E443A2"/>
    <w:rsid w:val="00E4449E"/>
    <w:rsid w:val="00E44560"/>
    <w:rsid w:val="00E44638"/>
    <w:rsid w:val="00E44800"/>
    <w:rsid w:val="00E44BBA"/>
    <w:rsid w:val="00E44E03"/>
    <w:rsid w:val="00E44EE7"/>
    <w:rsid w:val="00E44F91"/>
    <w:rsid w:val="00E45051"/>
    <w:rsid w:val="00E450D4"/>
    <w:rsid w:val="00E4517D"/>
    <w:rsid w:val="00E4559F"/>
    <w:rsid w:val="00E455E6"/>
    <w:rsid w:val="00E4570A"/>
    <w:rsid w:val="00E45713"/>
    <w:rsid w:val="00E45742"/>
    <w:rsid w:val="00E45E76"/>
    <w:rsid w:val="00E45EF1"/>
    <w:rsid w:val="00E45EF6"/>
    <w:rsid w:val="00E461AC"/>
    <w:rsid w:val="00E461B4"/>
    <w:rsid w:val="00E461E5"/>
    <w:rsid w:val="00E468A1"/>
    <w:rsid w:val="00E46A97"/>
    <w:rsid w:val="00E47551"/>
    <w:rsid w:val="00E4785B"/>
    <w:rsid w:val="00E4788C"/>
    <w:rsid w:val="00E47963"/>
    <w:rsid w:val="00E47A22"/>
    <w:rsid w:val="00E47A7F"/>
    <w:rsid w:val="00E47B02"/>
    <w:rsid w:val="00E47DA3"/>
    <w:rsid w:val="00E47E68"/>
    <w:rsid w:val="00E47E73"/>
    <w:rsid w:val="00E5030E"/>
    <w:rsid w:val="00E50327"/>
    <w:rsid w:val="00E5035E"/>
    <w:rsid w:val="00E5062F"/>
    <w:rsid w:val="00E50760"/>
    <w:rsid w:val="00E507D3"/>
    <w:rsid w:val="00E50B4C"/>
    <w:rsid w:val="00E50D21"/>
    <w:rsid w:val="00E50E7D"/>
    <w:rsid w:val="00E510C0"/>
    <w:rsid w:val="00E5148D"/>
    <w:rsid w:val="00E514A2"/>
    <w:rsid w:val="00E51698"/>
    <w:rsid w:val="00E51721"/>
    <w:rsid w:val="00E51B00"/>
    <w:rsid w:val="00E51BE8"/>
    <w:rsid w:val="00E51D08"/>
    <w:rsid w:val="00E51E35"/>
    <w:rsid w:val="00E51E98"/>
    <w:rsid w:val="00E51F88"/>
    <w:rsid w:val="00E51FE6"/>
    <w:rsid w:val="00E52000"/>
    <w:rsid w:val="00E523FF"/>
    <w:rsid w:val="00E52573"/>
    <w:rsid w:val="00E525F5"/>
    <w:rsid w:val="00E527B2"/>
    <w:rsid w:val="00E5280A"/>
    <w:rsid w:val="00E5296D"/>
    <w:rsid w:val="00E52B33"/>
    <w:rsid w:val="00E52B36"/>
    <w:rsid w:val="00E52B6B"/>
    <w:rsid w:val="00E52E09"/>
    <w:rsid w:val="00E52E27"/>
    <w:rsid w:val="00E52F84"/>
    <w:rsid w:val="00E52FAD"/>
    <w:rsid w:val="00E5333B"/>
    <w:rsid w:val="00E5352C"/>
    <w:rsid w:val="00E5380B"/>
    <w:rsid w:val="00E538C8"/>
    <w:rsid w:val="00E53922"/>
    <w:rsid w:val="00E53A2B"/>
    <w:rsid w:val="00E53A42"/>
    <w:rsid w:val="00E53C0D"/>
    <w:rsid w:val="00E53F9F"/>
    <w:rsid w:val="00E543A0"/>
    <w:rsid w:val="00E544B4"/>
    <w:rsid w:val="00E5470D"/>
    <w:rsid w:val="00E54B2C"/>
    <w:rsid w:val="00E54BDF"/>
    <w:rsid w:val="00E54DD1"/>
    <w:rsid w:val="00E55638"/>
    <w:rsid w:val="00E55982"/>
    <w:rsid w:val="00E559D1"/>
    <w:rsid w:val="00E55A23"/>
    <w:rsid w:val="00E55A49"/>
    <w:rsid w:val="00E55B29"/>
    <w:rsid w:val="00E55BF8"/>
    <w:rsid w:val="00E55E57"/>
    <w:rsid w:val="00E55F4D"/>
    <w:rsid w:val="00E55FCA"/>
    <w:rsid w:val="00E560CC"/>
    <w:rsid w:val="00E563A3"/>
    <w:rsid w:val="00E563C4"/>
    <w:rsid w:val="00E5640A"/>
    <w:rsid w:val="00E564CC"/>
    <w:rsid w:val="00E56594"/>
    <w:rsid w:val="00E56644"/>
    <w:rsid w:val="00E56849"/>
    <w:rsid w:val="00E568EC"/>
    <w:rsid w:val="00E56A39"/>
    <w:rsid w:val="00E56A9C"/>
    <w:rsid w:val="00E56D40"/>
    <w:rsid w:val="00E56D56"/>
    <w:rsid w:val="00E56E4A"/>
    <w:rsid w:val="00E56E77"/>
    <w:rsid w:val="00E56F38"/>
    <w:rsid w:val="00E57416"/>
    <w:rsid w:val="00E574F2"/>
    <w:rsid w:val="00E575FF"/>
    <w:rsid w:val="00E57679"/>
    <w:rsid w:val="00E5780F"/>
    <w:rsid w:val="00E57AA5"/>
    <w:rsid w:val="00E57DAA"/>
    <w:rsid w:val="00E57EBD"/>
    <w:rsid w:val="00E60026"/>
    <w:rsid w:val="00E60128"/>
    <w:rsid w:val="00E60163"/>
    <w:rsid w:val="00E60565"/>
    <w:rsid w:val="00E605D7"/>
    <w:rsid w:val="00E605DB"/>
    <w:rsid w:val="00E60757"/>
    <w:rsid w:val="00E6111A"/>
    <w:rsid w:val="00E6120F"/>
    <w:rsid w:val="00E612F7"/>
    <w:rsid w:val="00E61B74"/>
    <w:rsid w:val="00E61BAC"/>
    <w:rsid w:val="00E61CE0"/>
    <w:rsid w:val="00E61EF6"/>
    <w:rsid w:val="00E62056"/>
    <w:rsid w:val="00E6246C"/>
    <w:rsid w:val="00E62548"/>
    <w:rsid w:val="00E62747"/>
    <w:rsid w:val="00E62AA0"/>
    <w:rsid w:val="00E62BAA"/>
    <w:rsid w:val="00E62BD4"/>
    <w:rsid w:val="00E62C29"/>
    <w:rsid w:val="00E632A0"/>
    <w:rsid w:val="00E63335"/>
    <w:rsid w:val="00E633EC"/>
    <w:rsid w:val="00E635A5"/>
    <w:rsid w:val="00E637F8"/>
    <w:rsid w:val="00E63955"/>
    <w:rsid w:val="00E639AF"/>
    <w:rsid w:val="00E639D1"/>
    <w:rsid w:val="00E63D90"/>
    <w:rsid w:val="00E63DBA"/>
    <w:rsid w:val="00E640F9"/>
    <w:rsid w:val="00E641CC"/>
    <w:rsid w:val="00E642DC"/>
    <w:rsid w:val="00E6433E"/>
    <w:rsid w:val="00E64444"/>
    <w:rsid w:val="00E645E0"/>
    <w:rsid w:val="00E64638"/>
    <w:rsid w:val="00E64861"/>
    <w:rsid w:val="00E64895"/>
    <w:rsid w:val="00E64B20"/>
    <w:rsid w:val="00E64B5B"/>
    <w:rsid w:val="00E64C93"/>
    <w:rsid w:val="00E64D5E"/>
    <w:rsid w:val="00E65047"/>
    <w:rsid w:val="00E651CA"/>
    <w:rsid w:val="00E653F0"/>
    <w:rsid w:val="00E65661"/>
    <w:rsid w:val="00E6570E"/>
    <w:rsid w:val="00E65828"/>
    <w:rsid w:val="00E65852"/>
    <w:rsid w:val="00E65A79"/>
    <w:rsid w:val="00E65B31"/>
    <w:rsid w:val="00E65C24"/>
    <w:rsid w:val="00E65D1F"/>
    <w:rsid w:val="00E66032"/>
    <w:rsid w:val="00E66046"/>
    <w:rsid w:val="00E66239"/>
    <w:rsid w:val="00E6654E"/>
    <w:rsid w:val="00E6659B"/>
    <w:rsid w:val="00E667C1"/>
    <w:rsid w:val="00E66890"/>
    <w:rsid w:val="00E669F8"/>
    <w:rsid w:val="00E66D0B"/>
    <w:rsid w:val="00E66D45"/>
    <w:rsid w:val="00E66E17"/>
    <w:rsid w:val="00E66E74"/>
    <w:rsid w:val="00E66EC9"/>
    <w:rsid w:val="00E66F95"/>
    <w:rsid w:val="00E66FEE"/>
    <w:rsid w:val="00E674F4"/>
    <w:rsid w:val="00E67565"/>
    <w:rsid w:val="00E678BB"/>
    <w:rsid w:val="00E67D21"/>
    <w:rsid w:val="00E7012E"/>
    <w:rsid w:val="00E70705"/>
    <w:rsid w:val="00E7081D"/>
    <w:rsid w:val="00E70A10"/>
    <w:rsid w:val="00E70B6D"/>
    <w:rsid w:val="00E70BA1"/>
    <w:rsid w:val="00E70BFD"/>
    <w:rsid w:val="00E70DA3"/>
    <w:rsid w:val="00E70DAD"/>
    <w:rsid w:val="00E70F4C"/>
    <w:rsid w:val="00E71024"/>
    <w:rsid w:val="00E710CD"/>
    <w:rsid w:val="00E713AE"/>
    <w:rsid w:val="00E7156C"/>
    <w:rsid w:val="00E71684"/>
    <w:rsid w:val="00E719C7"/>
    <w:rsid w:val="00E71A67"/>
    <w:rsid w:val="00E71C17"/>
    <w:rsid w:val="00E71C90"/>
    <w:rsid w:val="00E71E09"/>
    <w:rsid w:val="00E723DB"/>
    <w:rsid w:val="00E72474"/>
    <w:rsid w:val="00E725BF"/>
    <w:rsid w:val="00E72662"/>
    <w:rsid w:val="00E72770"/>
    <w:rsid w:val="00E7279F"/>
    <w:rsid w:val="00E72EC9"/>
    <w:rsid w:val="00E72F52"/>
    <w:rsid w:val="00E72FA9"/>
    <w:rsid w:val="00E731D5"/>
    <w:rsid w:val="00E73288"/>
    <w:rsid w:val="00E73659"/>
    <w:rsid w:val="00E739ED"/>
    <w:rsid w:val="00E73A46"/>
    <w:rsid w:val="00E73E45"/>
    <w:rsid w:val="00E73E9F"/>
    <w:rsid w:val="00E7417F"/>
    <w:rsid w:val="00E7431E"/>
    <w:rsid w:val="00E74444"/>
    <w:rsid w:val="00E74529"/>
    <w:rsid w:val="00E74621"/>
    <w:rsid w:val="00E746A6"/>
    <w:rsid w:val="00E7472F"/>
    <w:rsid w:val="00E747C9"/>
    <w:rsid w:val="00E748D4"/>
    <w:rsid w:val="00E74942"/>
    <w:rsid w:val="00E74A34"/>
    <w:rsid w:val="00E74B37"/>
    <w:rsid w:val="00E74DF6"/>
    <w:rsid w:val="00E754F8"/>
    <w:rsid w:val="00E75512"/>
    <w:rsid w:val="00E756A8"/>
    <w:rsid w:val="00E757A6"/>
    <w:rsid w:val="00E75874"/>
    <w:rsid w:val="00E759CD"/>
    <w:rsid w:val="00E75BD5"/>
    <w:rsid w:val="00E75FBE"/>
    <w:rsid w:val="00E7614C"/>
    <w:rsid w:val="00E761BC"/>
    <w:rsid w:val="00E765DE"/>
    <w:rsid w:val="00E76A63"/>
    <w:rsid w:val="00E76D9B"/>
    <w:rsid w:val="00E76E9C"/>
    <w:rsid w:val="00E76F5B"/>
    <w:rsid w:val="00E77013"/>
    <w:rsid w:val="00E77075"/>
    <w:rsid w:val="00E7707E"/>
    <w:rsid w:val="00E77176"/>
    <w:rsid w:val="00E773F3"/>
    <w:rsid w:val="00E7772C"/>
    <w:rsid w:val="00E77771"/>
    <w:rsid w:val="00E778AD"/>
    <w:rsid w:val="00E778C7"/>
    <w:rsid w:val="00E779CF"/>
    <w:rsid w:val="00E77A87"/>
    <w:rsid w:val="00E77B21"/>
    <w:rsid w:val="00E77B74"/>
    <w:rsid w:val="00E77E52"/>
    <w:rsid w:val="00E8029C"/>
    <w:rsid w:val="00E802FE"/>
    <w:rsid w:val="00E80420"/>
    <w:rsid w:val="00E806DF"/>
    <w:rsid w:val="00E8089F"/>
    <w:rsid w:val="00E808A0"/>
    <w:rsid w:val="00E808BE"/>
    <w:rsid w:val="00E80D37"/>
    <w:rsid w:val="00E80FE8"/>
    <w:rsid w:val="00E810D1"/>
    <w:rsid w:val="00E810DE"/>
    <w:rsid w:val="00E81156"/>
    <w:rsid w:val="00E8117A"/>
    <w:rsid w:val="00E81362"/>
    <w:rsid w:val="00E814BB"/>
    <w:rsid w:val="00E81633"/>
    <w:rsid w:val="00E81A89"/>
    <w:rsid w:val="00E81D31"/>
    <w:rsid w:val="00E81D91"/>
    <w:rsid w:val="00E81F3F"/>
    <w:rsid w:val="00E8223C"/>
    <w:rsid w:val="00E822C9"/>
    <w:rsid w:val="00E8247C"/>
    <w:rsid w:val="00E8288D"/>
    <w:rsid w:val="00E82AEA"/>
    <w:rsid w:val="00E82B0E"/>
    <w:rsid w:val="00E82CA0"/>
    <w:rsid w:val="00E82D77"/>
    <w:rsid w:val="00E82ED9"/>
    <w:rsid w:val="00E82F78"/>
    <w:rsid w:val="00E8313B"/>
    <w:rsid w:val="00E83178"/>
    <w:rsid w:val="00E83247"/>
    <w:rsid w:val="00E83653"/>
    <w:rsid w:val="00E8391C"/>
    <w:rsid w:val="00E83A49"/>
    <w:rsid w:val="00E83CF8"/>
    <w:rsid w:val="00E83DBD"/>
    <w:rsid w:val="00E84133"/>
    <w:rsid w:val="00E848BD"/>
    <w:rsid w:val="00E848EE"/>
    <w:rsid w:val="00E849C3"/>
    <w:rsid w:val="00E852CD"/>
    <w:rsid w:val="00E855A5"/>
    <w:rsid w:val="00E855C1"/>
    <w:rsid w:val="00E8574F"/>
    <w:rsid w:val="00E8589F"/>
    <w:rsid w:val="00E858A1"/>
    <w:rsid w:val="00E85913"/>
    <w:rsid w:val="00E85CD6"/>
    <w:rsid w:val="00E85CDE"/>
    <w:rsid w:val="00E85D6F"/>
    <w:rsid w:val="00E85F50"/>
    <w:rsid w:val="00E86112"/>
    <w:rsid w:val="00E86139"/>
    <w:rsid w:val="00E869C0"/>
    <w:rsid w:val="00E86B6B"/>
    <w:rsid w:val="00E86E07"/>
    <w:rsid w:val="00E86F00"/>
    <w:rsid w:val="00E87035"/>
    <w:rsid w:val="00E870BB"/>
    <w:rsid w:val="00E871B5"/>
    <w:rsid w:val="00E87360"/>
    <w:rsid w:val="00E87717"/>
    <w:rsid w:val="00E878EB"/>
    <w:rsid w:val="00E87A19"/>
    <w:rsid w:val="00E87B54"/>
    <w:rsid w:val="00E87C46"/>
    <w:rsid w:val="00E90034"/>
    <w:rsid w:val="00E90199"/>
    <w:rsid w:val="00E9045D"/>
    <w:rsid w:val="00E9046B"/>
    <w:rsid w:val="00E905C9"/>
    <w:rsid w:val="00E90698"/>
    <w:rsid w:val="00E90818"/>
    <w:rsid w:val="00E90A31"/>
    <w:rsid w:val="00E90A53"/>
    <w:rsid w:val="00E90BF2"/>
    <w:rsid w:val="00E91179"/>
    <w:rsid w:val="00E91264"/>
    <w:rsid w:val="00E9144F"/>
    <w:rsid w:val="00E917FB"/>
    <w:rsid w:val="00E91841"/>
    <w:rsid w:val="00E91849"/>
    <w:rsid w:val="00E91881"/>
    <w:rsid w:val="00E91918"/>
    <w:rsid w:val="00E91FE5"/>
    <w:rsid w:val="00E920E5"/>
    <w:rsid w:val="00E9237B"/>
    <w:rsid w:val="00E9239A"/>
    <w:rsid w:val="00E923FE"/>
    <w:rsid w:val="00E925DE"/>
    <w:rsid w:val="00E92762"/>
    <w:rsid w:val="00E9298F"/>
    <w:rsid w:val="00E92DA8"/>
    <w:rsid w:val="00E9321E"/>
    <w:rsid w:val="00E93260"/>
    <w:rsid w:val="00E93649"/>
    <w:rsid w:val="00E93718"/>
    <w:rsid w:val="00E937FE"/>
    <w:rsid w:val="00E93838"/>
    <w:rsid w:val="00E938CF"/>
    <w:rsid w:val="00E9391F"/>
    <w:rsid w:val="00E93B4D"/>
    <w:rsid w:val="00E93C80"/>
    <w:rsid w:val="00E93DB3"/>
    <w:rsid w:val="00E93FAA"/>
    <w:rsid w:val="00E9423B"/>
    <w:rsid w:val="00E94296"/>
    <w:rsid w:val="00E9436C"/>
    <w:rsid w:val="00E943CA"/>
    <w:rsid w:val="00E94726"/>
    <w:rsid w:val="00E9487C"/>
    <w:rsid w:val="00E94936"/>
    <w:rsid w:val="00E949F7"/>
    <w:rsid w:val="00E94AE5"/>
    <w:rsid w:val="00E94BA8"/>
    <w:rsid w:val="00E94D8E"/>
    <w:rsid w:val="00E95059"/>
    <w:rsid w:val="00E95249"/>
    <w:rsid w:val="00E956E9"/>
    <w:rsid w:val="00E95857"/>
    <w:rsid w:val="00E95BB2"/>
    <w:rsid w:val="00E95CD2"/>
    <w:rsid w:val="00E95EDC"/>
    <w:rsid w:val="00E95F5A"/>
    <w:rsid w:val="00E95FD5"/>
    <w:rsid w:val="00E9601A"/>
    <w:rsid w:val="00E9604B"/>
    <w:rsid w:val="00E960A9"/>
    <w:rsid w:val="00E9648F"/>
    <w:rsid w:val="00E96559"/>
    <w:rsid w:val="00E9658E"/>
    <w:rsid w:val="00E967D8"/>
    <w:rsid w:val="00E96821"/>
    <w:rsid w:val="00E968F7"/>
    <w:rsid w:val="00E969FD"/>
    <w:rsid w:val="00E96B85"/>
    <w:rsid w:val="00E96B95"/>
    <w:rsid w:val="00E96C73"/>
    <w:rsid w:val="00E96EF0"/>
    <w:rsid w:val="00E96F7E"/>
    <w:rsid w:val="00E97152"/>
    <w:rsid w:val="00E971DF"/>
    <w:rsid w:val="00E972EA"/>
    <w:rsid w:val="00E97778"/>
    <w:rsid w:val="00E97892"/>
    <w:rsid w:val="00E97A93"/>
    <w:rsid w:val="00E97AB3"/>
    <w:rsid w:val="00E97E60"/>
    <w:rsid w:val="00E97FBF"/>
    <w:rsid w:val="00EA00C5"/>
    <w:rsid w:val="00EA0411"/>
    <w:rsid w:val="00EA052F"/>
    <w:rsid w:val="00EA05BA"/>
    <w:rsid w:val="00EA0851"/>
    <w:rsid w:val="00EA0ACF"/>
    <w:rsid w:val="00EA0D5B"/>
    <w:rsid w:val="00EA100B"/>
    <w:rsid w:val="00EA1171"/>
    <w:rsid w:val="00EA11D2"/>
    <w:rsid w:val="00EA138A"/>
    <w:rsid w:val="00EA180F"/>
    <w:rsid w:val="00EA1ABE"/>
    <w:rsid w:val="00EA1AE3"/>
    <w:rsid w:val="00EA1D15"/>
    <w:rsid w:val="00EA21A2"/>
    <w:rsid w:val="00EA22B8"/>
    <w:rsid w:val="00EA2346"/>
    <w:rsid w:val="00EA259D"/>
    <w:rsid w:val="00EA270F"/>
    <w:rsid w:val="00EA277B"/>
    <w:rsid w:val="00EA27E9"/>
    <w:rsid w:val="00EA2879"/>
    <w:rsid w:val="00EA2AF0"/>
    <w:rsid w:val="00EA2B65"/>
    <w:rsid w:val="00EA2BEA"/>
    <w:rsid w:val="00EA2C4B"/>
    <w:rsid w:val="00EA2D7F"/>
    <w:rsid w:val="00EA2FA5"/>
    <w:rsid w:val="00EA329C"/>
    <w:rsid w:val="00EA3592"/>
    <w:rsid w:val="00EA35C8"/>
    <w:rsid w:val="00EA39AE"/>
    <w:rsid w:val="00EA39D3"/>
    <w:rsid w:val="00EA3BE8"/>
    <w:rsid w:val="00EA3CBD"/>
    <w:rsid w:val="00EA3D71"/>
    <w:rsid w:val="00EA402C"/>
    <w:rsid w:val="00EA417A"/>
    <w:rsid w:val="00EA443D"/>
    <w:rsid w:val="00EA4917"/>
    <w:rsid w:val="00EA4C9D"/>
    <w:rsid w:val="00EA4CC6"/>
    <w:rsid w:val="00EA5272"/>
    <w:rsid w:val="00EA5313"/>
    <w:rsid w:val="00EA53F5"/>
    <w:rsid w:val="00EA560B"/>
    <w:rsid w:val="00EA58FD"/>
    <w:rsid w:val="00EA5A21"/>
    <w:rsid w:val="00EA5ED7"/>
    <w:rsid w:val="00EA5F4F"/>
    <w:rsid w:val="00EA615A"/>
    <w:rsid w:val="00EA617B"/>
    <w:rsid w:val="00EA6730"/>
    <w:rsid w:val="00EA6926"/>
    <w:rsid w:val="00EA6D04"/>
    <w:rsid w:val="00EA6D31"/>
    <w:rsid w:val="00EA6ECD"/>
    <w:rsid w:val="00EA7087"/>
    <w:rsid w:val="00EA712E"/>
    <w:rsid w:val="00EA7152"/>
    <w:rsid w:val="00EA73AE"/>
    <w:rsid w:val="00EA746B"/>
    <w:rsid w:val="00EA75C4"/>
    <w:rsid w:val="00EA78F4"/>
    <w:rsid w:val="00EA7BCD"/>
    <w:rsid w:val="00EA7DC3"/>
    <w:rsid w:val="00EA7E1F"/>
    <w:rsid w:val="00EA7E8C"/>
    <w:rsid w:val="00EB00A6"/>
    <w:rsid w:val="00EB02BB"/>
    <w:rsid w:val="00EB04B6"/>
    <w:rsid w:val="00EB05CD"/>
    <w:rsid w:val="00EB05E5"/>
    <w:rsid w:val="00EB093B"/>
    <w:rsid w:val="00EB0A2F"/>
    <w:rsid w:val="00EB0A71"/>
    <w:rsid w:val="00EB0B39"/>
    <w:rsid w:val="00EB0E89"/>
    <w:rsid w:val="00EB0F32"/>
    <w:rsid w:val="00EB0FFA"/>
    <w:rsid w:val="00EB10C6"/>
    <w:rsid w:val="00EB13CE"/>
    <w:rsid w:val="00EB18A6"/>
    <w:rsid w:val="00EB192F"/>
    <w:rsid w:val="00EB1A75"/>
    <w:rsid w:val="00EB1E13"/>
    <w:rsid w:val="00EB1EC6"/>
    <w:rsid w:val="00EB22C7"/>
    <w:rsid w:val="00EB2466"/>
    <w:rsid w:val="00EB26BE"/>
    <w:rsid w:val="00EB2704"/>
    <w:rsid w:val="00EB291B"/>
    <w:rsid w:val="00EB2B58"/>
    <w:rsid w:val="00EB2DCF"/>
    <w:rsid w:val="00EB2E0F"/>
    <w:rsid w:val="00EB2EFC"/>
    <w:rsid w:val="00EB2F3A"/>
    <w:rsid w:val="00EB2FB7"/>
    <w:rsid w:val="00EB3517"/>
    <w:rsid w:val="00EB35A2"/>
    <w:rsid w:val="00EB35FA"/>
    <w:rsid w:val="00EB371F"/>
    <w:rsid w:val="00EB39CA"/>
    <w:rsid w:val="00EB3A60"/>
    <w:rsid w:val="00EB3A6D"/>
    <w:rsid w:val="00EB3C7F"/>
    <w:rsid w:val="00EB4175"/>
    <w:rsid w:val="00EB4456"/>
    <w:rsid w:val="00EB455A"/>
    <w:rsid w:val="00EB4787"/>
    <w:rsid w:val="00EB4896"/>
    <w:rsid w:val="00EB4AA9"/>
    <w:rsid w:val="00EB4C0A"/>
    <w:rsid w:val="00EB4DAD"/>
    <w:rsid w:val="00EB4E72"/>
    <w:rsid w:val="00EB50B7"/>
    <w:rsid w:val="00EB5360"/>
    <w:rsid w:val="00EB5AE6"/>
    <w:rsid w:val="00EB5C70"/>
    <w:rsid w:val="00EB5C98"/>
    <w:rsid w:val="00EB5E54"/>
    <w:rsid w:val="00EB5E74"/>
    <w:rsid w:val="00EB6536"/>
    <w:rsid w:val="00EB65FC"/>
    <w:rsid w:val="00EB6669"/>
    <w:rsid w:val="00EB6707"/>
    <w:rsid w:val="00EB6865"/>
    <w:rsid w:val="00EB6899"/>
    <w:rsid w:val="00EB6FC2"/>
    <w:rsid w:val="00EB71A2"/>
    <w:rsid w:val="00EB78FA"/>
    <w:rsid w:val="00EC0005"/>
    <w:rsid w:val="00EC010A"/>
    <w:rsid w:val="00EC0126"/>
    <w:rsid w:val="00EC032B"/>
    <w:rsid w:val="00EC0353"/>
    <w:rsid w:val="00EC06D9"/>
    <w:rsid w:val="00EC08D5"/>
    <w:rsid w:val="00EC0980"/>
    <w:rsid w:val="00EC0A56"/>
    <w:rsid w:val="00EC0BF4"/>
    <w:rsid w:val="00EC0E71"/>
    <w:rsid w:val="00EC0EF1"/>
    <w:rsid w:val="00EC0FB6"/>
    <w:rsid w:val="00EC0FBA"/>
    <w:rsid w:val="00EC1106"/>
    <w:rsid w:val="00EC142A"/>
    <w:rsid w:val="00EC1586"/>
    <w:rsid w:val="00EC1973"/>
    <w:rsid w:val="00EC197F"/>
    <w:rsid w:val="00EC19D7"/>
    <w:rsid w:val="00EC1BAF"/>
    <w:rsid w:val="00EC1CB9"/>
    <w:rsid w:val="00EC1E0B"/>
    <w:rsid w:val="00EC1E51"/>
    <w:rsid w:val="00EC1EBD"/>
    <w:rsid w:val="00EC1F34"/>
    <w:rsid w:val="00EC1F89"/>
    <w:rsid w:val="00EC1FF6"/>
    <w:rsid w:val="00EC21F3"/>
    <w:rsid w:val="00EC2973"/>
    <w:rsid w:val="00EC2DCB"/>
    <w:rsid w:val="00EC2DFE"/>
    <w:rsid w:val="00EC346D"/>
    <w:rsid w:val="00EC350D"/>
    <w:rsid w:val="00EC3A24"/>
    <w:rsid w:val="00EC3ABE"/>
    <w:rsid w:val="00EC3B67"/>
    <w:rsid w:val="00EC3CAD"/>
    <w:rsid w:val="00EC3E06"/>
    <w:rsid w:val="00EC3F53"/>
    <w:rsid w:val="00EC4130"/>
    <w:rsid w:val="00EC424E"/>
    <w:rsid w:val="00EC479F"/>
    <w:rsid w:val="00EC4919"/>
    <w:rsid w:val="00EC4C0D"/>
    <w:rsid w:val="00EC4CCF"/>
    <w:rsid w:val="00EC4FEF"/>
    <w:rsid w:val="00EC50E4"/>
    <w:rsid w:val="00EC5136"/>
    <w:rsid w:val="00EC54DB"/>
    <w:rsid w:val="00EC565C"/>
    <w:rsid w:val="00EC5689"/>
    <w:rsid w:val="00EC57EF"/>
    <w:rsid w:val="00EC5913"/>
    <w:rsid w:val="00EC59AF"/>
    <w:rsid w:val="00EC5B3A"/>
    <w:rsid w:val="00EC5BA7"/>
    <w:rsid w:val="00EC5D69"/>
    <w:rsid w:val="00EC5F98"/>
    <w:rsid w:val="00EC600E"/>
    <w:rsid w:val="00EC61BF"/>
    <w:rsid w:val="00EC6408"/>
    <w:rsid w:val="00EC67FE"/>
    <w:rsid w:val="00EC6868"/>
    <w:rsid w:val="00EC69F9"/>
    <w:rsid w:val="00EC6AD9"/>
    <w:rsid w:val="00EC6AF6"/>
    <w:rsid w:val="00EC6F32"/>
    <w:rsid w:val="00EC6FA7"/>
    <w:rsid w:val="00EC71B4"/>
    <w:rsid w:val="00EC7263"/>
    <w:rsid w:val="00EC7925"/>
    <w:rsid w:val="00EC7A9C"/>
    <w:rsid w:val="00EC7CAA"/>
    <w:rsid w:val="00EC7CB1"/>
    <w:rsid w:val="00EC7D89"/>
    <w:rsid w:val="00EC7EC3"/>
    <w:rsid w:val="00ED0094"/>
    <w:rsid w:val="00ED0131"/>
    <w:rsid w:val="00ED01A9"/>
    <w:rsid w:val="00ED01E3"/>
    <w:rsid w:val="00ED030A"/>
    <w:rsid w:val="00ED03F7"/>
    <w:rsid w:val="00ED05FF"/>
    <w:rsid w:val="00ED068F"/>
    <w:rsid w:val="00ED0CDE"/>
    <w:rsid w:val="00ED0E56"/>
    <w:rsid w:val="00ED0EC8"/>
    <w:rsid w:val="00ED105B"/>
    <w:rsid w:val="00ED10CB"/>
    <w:rsid w:val="00ED113C"/>
    <w:rsid w:val="00ED1388"/>
    <w:rsid w:val="00ED148B"/>
    <w:rsid w:val="00ED1707"/>
    <w:rsid w:val="00ED184D"/>
    <w:rsid w:val="00ED1851"/>
    <w:rsid w:val="00ED222B"/>
    <w:rsid w:val="00ED23DF"/>
    <w:rsid w:val="00ED24DD"/>
    <w:rsid w:val="00ED2555"/>
    <w:rsid w:val="00ED267A"/>
    <w:rsid w:val="00ED270C"/>
    <w:rsid w:val="00ED27D9"/>
    <w:rsid w:val="00ED2AE4"/>
    <w:rsid w:val="00ED2BF3"/>
    <w:rsid w:val="00ED2C7B"/>
    <w:rsid w:val="00ED32FB"/>
    <w:rsid w:val="00ED35AC"/>
    <w:rsid w:val="00ED3805"/>
    <w:rsid w:val="00ED3AB4"/>
    <w:rsid w:val="00ED3B8E"/>
    <w:rsid w:val="00ED3E14"/>
    <w:rsid w:val="00ED3EEE"/>
    <w:rsid w:val="00ED447B"/>
    <w:rsid w:val="00ED4629"/>
    <w:rsid w:val="00ED4A80"/>
    <w:rsid w:val="00ED4E33"/>
    <w:rsid w:val="00ED4F4F"/>
    <w:rsid w:val="00ED500D"/>
    <w:rsid w:val="00ED546E"/>
    <w:rsid w:val="00ED56F7"/>
    <w:rsid w:val="00ED58AF"/>
    <w:rsid w:val="00ED59E3"/>
    <w:rsid w:val="00ED5A3E"/>
    <w:rsid w:val="00ED5BC8"/>
    <w:rsid w:val="00ED5BFA"/>
    <w:rsid w:val="00ED62EE"/>
    <w:rsid w:val="00ED6354"/>
    <w:rsid w:val="00ED63B8"/>
    <w:rsid w:val="00ED6531"/>
    <w:rsid w:val="00ED6699"/>
    <w:rsid w:val="00ED66E0"/>
    <w:rsid w:val="00ED683E"/>
    <w:rsid w:val="00ED6881"/>
    <w:rsid w:val="00ED68D3"/>
    <w:rsid w:val="00ED6A96"/>
    <w:rsid w:val="00ED6DE4"/>
    <w:rsid w:val="00ED6E6D"/>
    <w:rsid w:val="00ED70D3"/>
    <w:rsid w:val="00ED71DD"/>
    <w:rsid w:val="00ED7279"/>
    <w:rsid w:val="00ED7290"/>
    <w:rsid w:val="00ED72CF"/>
    <w:rsid w:val="00ED72DA"/>
    <w:rsid w:val="00ED7B4F"/>
    <w:rsid w:val="00ED7C72"/>
    <w:rsid w:val="00ED7DBF"/>
    <w:rsid w:val="00EE046F"/>
    <w:rsid w:val="00EE04AF"/>
    <w:rsid w:val="00EE0628"/>
    <w:rsid w:val="00EE0780"/>
    <w:rsid w:val="00EE081F"/>
    <w:rsid w:val="00EE085A"/>
    <w:rsid w:val="00EE09A3"/>
    <w:rsid w:val="00EE0AAE"/>
    <w:rsid w:val="00EE0B0E"/>
    <w:rsid w:val="00EE0CA4"/>
    <w:rsid w:val="00EE10E7"/>
    <w:rsid w:val="00EE13C3"/>
    <w:rsid w:val="00EE14D2"/>
    <w:rsid w:val="00EE1861"/>
    <w:rsid w:val="00EE1A42"/>
    <w:rsid w:val="00EE1A6B"/>
    <w:rsid w:val="00EE1D93"/>
    <w:rsid w:val="00EE221E"/>
    <w:rsid w:val="00EE24B0"/>
    <w:rsid w:val="00EE2526"/>
    <w:rsid w:val="00EE2697"/>
    <w:rsid w:val="00EE26A8"/>
    <w:rsid w:val="00EE26E8"/>
    <w:rsid w:val="00EE2783"/>
    <w:rsid w:val="00EE2799"/>
    <w:rsid w:val="00EE2973"/>
    <w:rsid w:val="00EE29F6"/>
    <w:rsid w:val="00EE2BDB"/>
    <w:rsid w:val="00EE2D3D"/>
    <w:rsid w:val="00EE2E02"/>
    <w:rsid w:val="00EE3335"/>
    <w:rsid w:val="00EE3658"/>
    <w:rsid w:val="00EE386D"/>
    <w:rsid w:val="00EE3DFE"/>
    <w:rsid w:val="00EE3E9F"/>
    <w:rsid w:val="00EE3F73"/>
    <w:rsid w:val="00EE4059"/>
    <w:rsid w:val="00EE4092"/>
    <w:rsid w:val="00EE40C9"/>
    <w:rsid w:val="00EE40E8"/>
    <w:rsid w:val="00EE417B"/>
    <w:rsid w:val="00EE438C"/>
    <w:rsid w:val="00EE4449"/>
    <w:rsid w:val="00EE44F0"/>
    <w:rsid w:val="00EE4562"/>
    <w:rsid w:val="00EE456A"/>
    <w:rsid w:val="00EE4848"/>
    <w:rsid w:val="00EE498B"/>
    <w:rsid w:val="00EE4AC0"/>
    <w:rsid w:val="00EE4BE9"/>
    <w:rsid w:val="00EE4C4B"/>
    <w:rsid w:val="00EE4C7C"/>
    <w:rsid w:val="00EE4CFC"/>
    <w:rsid w:val="00EE4DE7"/>
    <w:rsid w:val="00EE4EEB"/>
    <w:rsid w:val="00EE4FD1"/>
    <w:rsid w:val="00EE5097"/>
    <w:rsid w:val="00EE51C7"/>
    <w:rsid w:val="00EE556F"/>
    <w:rsid w:val="00EE5856"/>
    <w:rsid w:val="00EE5972"/>
    <w:rsid w:val="00EE5AB7"/>
    <w:rsid w:val="00EE5B41"/>
    <w:rsid w:val="00EE5D0F"/>
    <w:rsid w:val="00EE5E3D"/>
    <w:rsid w:val="00EE5F27"/>
    <w:rsid w:val="00EE6368"/>
    <w:rsid w:val="00EE64BB"/>
    <w:rsid w:val="00EE6A7D"/>
    <w:rsid w:val="00EE6B48"/>
    <w:rsid w:val="00EE6B88"/>
    <w:rsid w:val="00EE6F5F"/>
    <w:rsid w:val="00EE72B9"/>
    <w:rsid w:val="00EE7459"/>
    <w:rsid w:val="00EE7465"/>
    <w:rsid w:val="00EE7891"/>
    <w:rsid w:val="00EE7A39"/>
    <w:rsid w:val="00EE7BA5"/>
    <w:rsid w:val="00EE7C71"/>
    <w:rsid w:val="00EE7CE0"/>
    <w:rsid w:val="00EE7D6B"/>
    <w:rsid w:val="00EF018F"/>
    <w:rsid w:val="00EF023D"/>
    <w:rsid w:val="00EF03B1"/>
    <w:rsid w:val="00EF044D"/>
    <w:rsid w:val="00EF0542"/>
    <w:rsid w:val="00EF06A1"/>
    <w:rsid w:val="00EF09A1"/>
    <w:rsid w:val="00EF0A4F"/>
    <w:rsid w:val="00EF0B0D"/>
    <w:rsid w:val="00EF0D77"/>
    <w:rsid w:val="00EF0E0C"/>
    <w:rsid w:val="00EF0E3D"/>
    <w:rsid w:val="00EF0E96"/>
    <w:rsid w:val="00EF0FA7"/>
    <w:rsid w:val="00EF1118"/>
    <w:rsid w:val="00EF1441"/>
    <w:rsid w:val="00EF17A2"/>
    <w:rsid w:val="00EF1ABA"/>
    <w:rsid w:val="00EF1B4E"/>
    <w:rsid w:val="00EF1BE0"/>
    <w:rsid w:val="00EF1DC7"/>
    <w:rsid w:val="00EF1E3D"/>
    <w:rsid w:val="00EF1F09"/>
    <w:rsid w:val="00EF2286"/>
    <w:rsid w:val="00EF23E5"/>
    <w:rsid w:val="00EF25F6"/>
    <w:rsid w:val="00EF2889"/>
    <w:rsid w:val="00EF29C3"/>
    <w:rsid w:val="00EF29CD"/>
    <w:rsid w:val="00EF2A53"/>
    <w:rsid w:val="00EF30D0"/>
    <w:rsid w:val="00EF3154"/>
    <w:rsid w:val="00EF3248"/>
    <w:rsid w:val="00EF33E7"/>
    <w:rsid w:val="00EF35E1"/>
    <w:rsid w:val="00EF372C"/>
    <w:rsid w:val="00EF3828"/>
    <w:rsid w:val="00EF3DDF"/>
    <w:rsid w:val="00EF3E1A"/>
    <w:rsid w:val="00EF3ED5"/>
    <w:rsid w:val="00EF411A"/>
    <w:rsid w:val="00EF4124"/>
    <w:rsid w:val="00EF4467"/>
    <w:rsid w:val="00EF468C"/>
    <w:rsid w:val="00EF48C6"/>
    <w:rsid w:val="00EF492E"/>
    <w:rsid w:val="00EF4A01"/>
    <w:rsid w:val="00EF4ABC"/>
    <w:rsid w:val="00EF4AC7"/>
    <w:rsid w:val="00EF510B"/>
    <w:rsid w:val="00EF559B"/>
    <w:rsid w:val="00EF57AD"/>
    <w:rsid w:val="00EF585A"/>
    <w:rsid w:val="00EF5915"/>
    <w:rsid w:val="00EF5ED0"/>
    <w:rsid w:val="00EF612A"/>
    <w:rsid w:val="00EF62DF"/>
    <w:rsid w:val="00EF66F2"/>
    <w:rsid w:val="00EF697E"/>
    <w:rsid w:val="00EF6B9D"/>
    <w:rsid w:val="00EF6CDF"/>
    <w:rsid w:val="00EF7096"/>
    <w:rsid w:val="00EF70D6"/>
    <w:rsid w:val="00EF7132"/>
    <w:rsid w:val="00EF72E3"/>
    <w:rsid w:val="00EF745F"/>
    <w:rsid w:val="00EF74C4"/>
    <w:rsid w:val="00EF74DC"/>
    <w:rsid w:val="00EF753F"/>
    <w:rsid w:val="00EF755A"/>
    <w:rsid w:val="00EF7676"/>
    <w:rsid w:val="00EF7958"/>
    <w:rsid w:val="00EF79FB"/>
    <w:rsid w:val="00EF7C2A"/>
    <w:rsid w:val="00EF7C6C"/>
    <w:rsid w:val="00F0000F"/>
    <w:rsid w:val="00F00023"/>
    <w:rsid w:val="00F004DB"/>
    <w:rsid w:val="00F0077C"/>
    <w:rsid w:val="00F0086D"/>
    <w:rsid w:val="00F00C4E"/>
    <w:rsid w:val="00F00E83"/>
    <w:rsid w:val="00F00F23"/>
    <w:rsid w:val="00F010E9"/>
    <w:rsid w:val="00F01192"/>
    <w:rsid w:val="00F012CB"/>
    <w:rsid w:val="00F016C9"/>
    <w:rsid w:val="00F0173B"/>
    <w:rsid w:val="00F0185A"/>
    <w:rsid w:val="00F01871"/>
    <w:rsid w:val="00F01932"/>
    <w:rsid w:val="00F019BE"/>
    <w:rsid w:val="00F01A4B"/>
    <w:rsid w:val="00F01C8A"/>
    <w:rsid w:val="00F01DCD"/>
    <w:rsid w:val="00F02300"/>
    <w:rsid w:val="00F025DE"/>
    <w:rsid w:val="00F0261C"/>
    <w:rsid w:val="00F02850"/>
    <w:rsid w:val="00F02A07"/>
    <w:rsid w:val="00F02D3B"/>
    <w:rsid w:val="00F02F69"/>
    <w:rsid w:val="00F03122"/>
    <w:rsid w:val="00F03189"/>
    <w:rsid w:val="00F0323D"/>
    <w:rsid w:val="00F0329D"/>
    <w:rsid w:val="00F033C8"/>
    <w:rsid w:val="00F033CA"/>
    <w:rsid w:val="00F0342E"/>
    <w:rsid w:val="00F0377D"/>
    <w:rsid w:val="00F03B5D"/>
    <w:rsid w:val="00F03DA3"/>
    <w:rsid w:val="00F03E39"/>
    <w:rsid w:val="00F03EC5"/>
    <w:rsid w:val="00F03EDB"/>
    <w:rsid w:val="00F03FC2"/>
    <w:rsid w:val="00F0422B"/>
    <w:rsid w:val="00F042A1"/>
    <w:rsid w:val="00F04401"/>
    <w:rsid w:val="00F047FB"/>
    <w:rsid w:val="00F04894"/>
    <w:rsid w:val="00F04AD9"/>
    <w:rsid w:val="00F04AE0"/>
    <w:rsid w:val="00F04C60"/>
    <w:rsid w:val="00F04CBA"/>
    <w:rsid w:val="00F04F9B"/>
    <w:rsid w:val="00F05027"/>
    <w:rsid w:val="00F050C3"/>
    <w:rsid w:val="00F0510B"/>
    <w:rsid w:val="00F0519B"/>
    <w:rsid w:val="00F053E3"/>
    <w:rsid w:val="00F053E9"/>
    <w:rsid w:val="00F0565E"/>
    <w:rsid w:val="00F05A01"/>
    <w:rsid w:val="00F06077"/>
    <w:rsid w:val="00F06101"/>
    <w:rsid w:val="00F06106"/>
    <w:rsid w:val="00F06430"/>
    <w:rsid w:val="00F067A5"/>
    <w:rsid w:val="00F06C6A"/>
    <w:rsid w:val="00F06D02"/>
    <w:rsid w:val="00F06F85"/>
    <w:rsid w:val="00F07150"/>
    <w:rsid w:val="00F07350"/>
    <w:rsid w:val="00F0758A"/>
    <w:rsid w:val="00F076FC"/>
    <w:rsid w:val="00F077EE"/>
    <w:rsid w:val="00F07829"/>
    <w:rsid w:val="00F07A23"/>
    <w:rsid w:val="00F07B08"/>
    <w:rsid w:val="00F07B29"/>
    <w:rsid w:val="00F07BD9"/>
    <w:rsid w:val="00F07F7D"/>
    <w:rsid w:val="00F07F80"/>
    <w:rsid w:val="00F1001F"/>
    <w:rsid w:val="00F10100"/>
    <w:rsid w:val="00F10208"/>
    <w:rsid w:val="00F10295"/>
    <w:rsid w:val="00F102D2"/>
    <w:rsid w:val="00F10452"/>
    <w:rsid w:val="00F1065B"/>
    <w:rsid w:val="00F107BA"/>
    <w:rsid w:val="00F109C5"/>
    <w:rsid w:val="00F10D15"/>
    <w:rsid w:val="00F10DFD"/>
    <w:rsid w:val="00F10E34"/>
    <w:rsid w:val="00F110A0"/>
    <w:rsid w:val="00F112CE"/>
    <w:rsid w:val="00F11374"/>
    <w:rsid w:val="00F1139B"/>
    <w:rsid w:val="00F113E0"/>
    <w:rsid w:val="00F11703"/>
    <w:rsid w:val="00F1172C"/>
    <w:rsid w:val="00F118BB"/>
    <w:rsid w:val="00F11CA2"/>
    <w:rsid w:val="00F11D0F"/>
    <w:rsid w:val="00F12064"/>
    <w:rsid w:val="00F120F2"/>
    <w:rsid w:val="00F1211F"/>
    <w:rsid w:val="00F12398"/>
    <w:rsid w:val="00F123A3"/>
    <w:rsid w:val="00F12433"/>
    <w:rsid w:val="00F12584"/>
    <w:rsid w:val="00F12587"/>
    <w:rsid w:val="00F125CF"/>
    <w:rsid w:val="00F1260E"/>
    <w:rsid w:val="00F126B3"/>
    <w:rsid w:val="00F1292D"/>
    <w:rsid w:val="00F12D17"/>
    <w:rsid w:val="00F12D8D"/>
    <w:rsid w:val="00F12D8E"/>
    <w:rsid w:val="00F130A4"/>
    <w:rsid w:val="00F134FF"/>
    <w:rsid w:val="00F13D46"/>
    <w:rsid w:val="00F13FEB"/>
    <w:rsid w:val="00F141C3"/>
    <w:rsid w:val="00F143C4"/>
    <w:rsid w:val="00F143FB"/>
    <w:rsid w:val="00F1496A"/>
    <w:rsid w:val="00F14D79"/>
    <w:rsid w:val="00F15147"/>
    <w:rsid w:val="00F152A0"/>
    <w:rsid w:val="00F152A1"/>
    <w:rsid w:val="00F1545C"/>
    <w:rsid w:val="00F155AA"/>
    <w:rsid w:val="00F15722"/>
    <w:rsid w:val="00F157D9"/>
    <w:rsid w:val="00F157DF"/>
    <w:rsid w:val="00F15A65"/>
    <w:rsid w:val="00F15FCA"/>
    <w:rsid w:val="00F160D0"/>
    <w:rsid w:val="00F16228"/>
    <w:rsid w:val="00F163BD"/>
    <w:rsid w:val="00F16524"/>
    <w:rsid w:val="00F16698"/>
    <w:rsid w:val="00F167B8"/>
    <w:rsid w:val="00F167FE"/>
    <w:rsid w:val="00F169AC"/>
    <w:rsid w:val="00F169DD"/>
    <w:rsid w:val="00F16B94"/>
    <w:rsid w:val="00F16C26"/>
    <w:rsid w:val="00F16E2A"/>
    <w:rsid w:val="00F17053"/>
    <w:rsid w:val="00F17292"/>
    <w:rsid w:val="00F174F1"/>
    <w:rsid w:val="00F17676"/>
    <w:rsid w:val="00F179DA"/>
    <w:rsid w:val="00F17DCF"/>
    <w:rsid w:val="00F17F8F"/>
    <w:rsid w:val="00F20159"/>
    <w:rsid w:val="00F202DC"/>
    <w:rsid w:val="00F20546"/>
    <w:rsid w:val="00F20636"/>
    <w:rsid w:val="00F2072D"/>
    <w:rsid w:val="00F20873"/>
    <w:rsid w:val="00F20D13"/>
    <w:rsid w:val="00F20E61"/>
    <w:rsid w:val="00F21016"/>
    <w:rsid w:val="00F21064"/>
    <w:rsid w:val="00F213AE"/>
    <w:rsid w:val="00F213D9"/>
    <w:rsid w:val="00F21627"/>
    <w:rsid w:val="00F21782"/>
    <w:rsid w:val="00F21957"/>
    <w:rsid w:val="00F21C2D"/>
    <w:rsid w:val="00F21CAE"/>
    <w:rsid w:val="00F21F7C"/>
    <w:rsid w:val="00F22030"/>
    <w:rsid w:val="00F22153"/>
    <w:rsid w:val="00F221CB"/>
    <w:rsid w:val="00F22AE5"/>
    <w:rsid w:val="00F22C64"/>
    <w:rsid w:val="00F22DC7"/>
    <w:rsid w:val="00F22FD7"/>
    <w:rsid w:val="00F2303B"/>
    <w:rsid w:val="00F230E3"/>
    <w:rsid w:val="00F2312F"/>
    <w:rsid w:val="00F2318B"/>
    <w:rsid w:val="00F232FD"/>
    <w:rsid w:val="00F238DE"/>
    <w:rsid w:val="00F23901"/>
    <w:rsid w:val="00F23AC8"/>
    <w:rsid w:val="00F23ACF"/>
    <w:rsid w:val="00F23C62"/>
    <w:rsid w:val="00F23D1B"/>
    <w:rsid w:val="00F23ECF"/>
    <w:rsid w:val="00F23F80"/>
    <w:rsid w:val="00F24088"/>
    <w:rsid w:val="00F240EC"/>
    <w:rsid w:val="00F24248"/>
    <w:rsid w:val="00F24369"/>
    <w:rsid w:val="00F24ADA"/>
    <w:rsid w:val="00F24B40"/>
    <w:rsid w:val="00F24B91"/>
    <w:rsid w:val="00F24C42"/>
    <w:rsid w:val="00F24C46"/>
    <w:rsid w:val="00F24C54"/>
    <w:rsid w:val="00F24CE0"/>
    <w:rsid w:val="00F255D5"/>
    <w:rsid w:val="00F25900"/>
    <w:rsid w:val="00F259D0"/>
    <w:rsid w:val="00F25A90"/>
    <w:rsid w:val="00F25BB5"/>
    <w:rsid w:val="00F25E76"/>
    <w:rsid w:val="00F261DA"/>
    <w:rsid w:val="00F268C7"/>
    <w:rsid w:val="00F268DB"/>
    <w:rsid w:val="00F26A9B"/>
    <w:rsid w:val="00F26C8A"/>
    <w:rsid w:val="00F26C9E"/>
    <w:rsid w:val="00F26DAB"/>
    <w:rsid w:val="00F26E34"/>
    <w:rsid w:val="00F27011"/>
    <w:rsid w:val="00F272D4"/>
    <w:rsid w:val="00F27322"/>
    <w:rsid w:val="00F27664"/>
    <w:rsid w:val="00F27923"/>
    <w:rsid w:val="00F27BD9"/>
    <w:rsid w:val="00F27BEC"/>
    <w:rsid w:val="00F27C82"/>
    <w:rsid w:val="00F27F15"/>
    <w:rsid w:val="00F2C029"/>
    <w:rsid w:val="00F300DE"/>
    <w:rsid w:val="00F301CB"/>
    <w:rsid w:val="00F30358"/>
    <w:rsid w:val="00F305FD"/>
    <w:rsid w:val="00F308A8"/>
    <w:rsid w:val="00F30A75"/>
    <w:rsid w:val="00F30BE6"/>
    <w:rsid w:val="00F30E4D"/>
    <w:rsid w:val="00F31021"/>
    <w:rsid w:val="00F3105E"/>
    <w:rsid w:val="00F314C2"/>
    <w:rsid w:val="00F315FF"/>
    <w:rsid w:val="00F318C2"/>
    <w:rsid w:val="00F319CF"/>
    <w:rsid w:val="00F31CC2"/>
    <w:rsid w:val="00F31F15"/>
    <w:rsid w:val="00F32062"/>
    <w:rsid w:val="00F321B7"/>
    <w:rsid w:val="00F32447"/>
    <w:rsid w:val="00F3263D"/>
    <w:rsid w:val="00F327C0"/>
    <w:rsid w:val="00F32E57"/>
    <w:rsid w:val="00F32E98"/>
    <w:rsid w:val="00F3305C"/>
    <w:rsid w:val="00F3312B"/>
    <w:rsid w:val="00F33412"/>
    <w:rsid w:val="00F33470"/>
    <w:rsid w:val="00F33522"/>
    <w:rsid w:val="00F3362A"/>
    <w:rsid w:val="00F3372C"/>
    <w:rsid w:val="00F3377E"/>
    <w:rsid w:val="00F33881"/>
    <w:rsid w:val="00F33B25"/>
    <w:rsid w:val="00F33B6E"/>
    <w:rsid w:val="00F33B95"/>
    <w:rsid w:val="00F33BFB"/>
    <w:rsid w:val="00F33D4B"/>
    <w:rsid w:val="00F34099"/>
    <w:rsid w:val="00F34172"/>
    <w:rsid w:val="00F341A3"/>
    <w:rsid w:val="00F34230"/>
    <w:rsid w:val="00F342A0"/>
    <w:rsid w:val="00F343CC"/>
    <w:rsid w:val="00F34468"/>
    <w:rsid w:val="00F344B5"/>
    <w:rsid w:val="00F345FE"/>
    <w:rsid w:val="00F34647"/>
    <w:rsid w:val="00F34918"/>
    <w:rsid w:val="00F34AD9"/>
    <w:rsid w:val="00F34D59"/>
    <w:rsid w:val="00F34D93"/>
    <w:rsid w:val="00F355E8"/>
    <w:rsid w:val="00F35624"/>
    <w:rsid w:val="00F35772"/>
    <w:rsid w:val="00F358A5"/>
    <w:rsid w:val="00F3597A"/>
    <w:rsid w:val="00F35AB9"/>
    <w:rsid w:val="00F35B08"/>
    <w:rsid w:val="00F35C2D"/>
    <w:rsid w:val="00F35D19"/>
    <w:rsid w:val="00F3600B"/>
    <w:rsid w:val="00F3623B"/>
    <w:rsid w:val="00F36340"/>
    <w:rsid w:val="00F36493"/>
    <w:rsid w:val="00F365AB"/>
    <w:rsid w:val="00F3681E"/>
    <w:rsid w:val="00F3686E"/>
    <w:rsid w:val="00F36AD6"/>
    <w:rsid w:val="00F37369"/>
    <w:rsid w:val="00F373E0"/>
    <w:rsid w:val="00F37479"/>
    <w:rsid w:val="00F37483"/>
    <w:rsid w:val="00F3749F"/>
    <w:rsid w:val="00F37A38"/>
    <w:rsid w:val="00F37CD9"/>
    <w:rsid w:val="00F37DF4"/>
    <w:rsid w:val="00F37F1B"/>
    <w:rsid w:val="00F37FD1"/>
    <w:rsid w:val="00F4036C"/>
    <w:rsid w:val="00F404B2"/>
    <w:rsid w:val="00F40B5C"/>
    <w:rsid w:val="00F40D85"/>
    <w:rsid w:val="00F40E5E"/>
    <w:rsid w:val="00F40E65"/>
    <w:rsid w:val="00F40F73"/>
    <w:rsid w:val="00F41001"/>
    <w:rsid w:val="00F413B4"/>
    <w:rsid w:val="00F41448"/>
    <w:rsid w:val="00F41911"/>
    <w:rsid w:val="00F419EC"/>
    <w:rsid w:val="00F41AF7"/>
    <w:rsid w:val="00F41E2F"/>
    <w:rsid w:val="00F41FA7"/>
    <w:rsid w:val="00F420D0"/>
    <w:rsid w:val="00F425EB"/>
    <w:rsid w:val="00F426E1"/>
    <w:rsid w:val="00F42788"/>
    <w:rsid w:val="00F429F0"/>
    <w:rsid w:val="00F42ADD"/>
    <w:rsid w:val="00F42E91"/>
    <w:rsid w:val="00F42FD0"/>
    <w:rsid w:val="00F4309F"/>
    <w:rsid w:val="00F43157"/>
    <w:rsid w:val="00F43167"/>
    <w:rsid w:val="00F431F4"/>
    <w:rsid w:val="00F4334F"/>
    <w:rsid w:val="00F4336D"/>
    <w:rsid w:val="00F43660"/>
    <w:rsid w:val="00F43936"/>
    <w:rsid w:val="00F43974"/>
    <w:rsid w:val="00F439A4"/>
    <w:rsid w:val="00F43AE6"/>
    <w:rsid w:val="00F43CFB"/>
    <w:rsid w:val="00F442CB"/>
    <w:rsid w:val="00F44338"/>
    <w:rsid w:val="00F4444F"/>
    <w:rsid w:val="00F4449F"/>
    <w:rsid w:val="00F44992"/>
    <w:rsid w:val="00F449A3"/>
    <w:rsid w:val="00F44AB0"/>
    <w:rsid w:val="00F44BFE"/>
    <w:rsid w:val="00F44E74"/>
    <w:rsid w:val="00F44F91"/>
    <w:rsid w:val="00F4500E"/>
    <w:rsid w:val="00F45092"/>
    <w:rsid w:val="00F4510C"/>
    <w:rsid w:val="00F451D6"/>
    <w:rsid w:val="00F452A9"/>
    <w:rsid w:val="00F452AC"/>
    <w:rsid w:val="00F45456"/>
    <w:rsid w:val="00F4552A"/>
    <w:rsid w:val="00F456B8"/>
    <w:rsid w:val="00F4579C"/>
    <w:rsid w:val="00F45BED"/>
    <w:rsid w:val="00F45D6A"/>
    <w:rsid w:val="00F467D5"/>
    <w:rsid w:val="00F469AB"/>
    <w:rsid w:val="00F46A93"/>
    <w:rsid w:val="00F46CC4"/>
    <w:rsid w:val="00F46F6A"/>
    <w:rsid w:val="00F472A5"/>
    <w:rsid w:val="00F472C1"/>
    <w:rsid w:val="00F472ED"/>
    <w:rsid w:val="00F47374"/>
    <w:rsid w:val="00F47489"/>
    <w:rsid w:val="00F474DC"/>
    <w:rsid w:val="00F4750F"/>
    <w:rsid w:val="00F47599"/>
    <w:rsid w:val="00F4778C"/>
    <w:rsid w:val="00F478C0"/>
    <w:rsid w:val="00F47C1A"/>
    <w:rsid w:val="00F47F87"/>
    <w:rsid w:val="00F501B0"/>
    <w:rsid w:val="00F501C9"/>
    <w:rsid w:val="00F5040A"/>
    <w:rsid w:val="00F504AF"/>
    <w:rsid w:val="00F504EF"/>
    <w:rsid w:val="00F5079D"/>
    <w:rsid w:val="00F50809"/>
    <w:rsid w:val="00F50939"/>
    <w:rsid w:val="00F509A8"/>
    <w:rsid w:val="00F50C62"/>
    <w:rsid w:val="00F50D22"/>
    <w:rsid w:val="00F50D48"/>
    <w:rsid w:val="00F50D5A"/>
    <w:rsid w:val="00F50DA3"/>
    <w:rsid w:val="00F510A6"/>
    <w:rsid w:val="00F511D3"/>
    <w:rsid w:val="00F51206"/>
    <w:rsid w:val="00F5125A"/>
    <w:rsid w:val="00F51266"/>
    <w:rsid w:val="00F512E1"/>
    <w:rsid w:val="00F51386"/>
    <w:rsid w:val="00F5166F"/>
    <w:rsid w:val="00F5184D"/>
    <w:rsid w:val="00F518F1"/>
    <w:rsid w:val="00F51EF4"/>
    <w:rsid w:val="00F51F10"/>
    <w:rsid w:val="00F52033"/>
    <w:rsid w:val="00F5227A"/>
    <w:rsid w:val="00F52331"/>
    <w:rsid w:val="00F52363"/>
    <w:rsid w:val="00F523AB"/>
    <w:rsid w:val="00F52461"/>
    <w:rsid w:val="00F524FA"/>
    <w:rsid w:val="00F524FF"/>
    <w:rsid w:val="00F52622"/>
    <w:rsid w:val="00F52695"/>
    <w:rsid w:val="00F5283E"/>
    <w:rsid w:val="00F52ACB"/>
    <w:rsid w:val="00F530A5"/>
    <w:rsid w:val="00F535D9"/>
    <w:rsid w:val="00F53753"/>
    <w:rsid w:val="00F537CF"/>
    <w:rsid w:val="00F5399B"/>
    <w:rsid w:val="00F53AD9"/>
    <w:rsid w:val="00F53E91"/>
    <w:rsid w:val="00F54136"/>
    <w:rsid w:val="00F541EA"/>
    <w:rsid w:val="00F54201"/>
    <w:rsid w:val="00F549CD"/>
    <w:rsid w:val="00F54B59"/>
    <w:rsid w:val="00F54C4C"/>
    <w:rsid w:val="00F54D29"/>
    <w:rsid w:val="00F54DEC"/>
    <w:rsid w:val="00F54E96"/>
    <w:rsid w:val="00F54ED6"/>
    <w:rsid w:val="00F555BD"/>
    <w:rsid w:val="00F5572B"/>
    <w:rsid w:val="00F55806"/>
    <w:rsid w:val="00F55A43"/>
    <w:rsid w:val="00F55CEF"/>
    <w:rsid w:val="00F55CF0"/>
    <w:rsid w:val="00F55DF7"/>
    <w:rsid w:val="00F56113"/>
    <w:rsid w:val="00F56159"/>
    <w:rsid w:val="00F56209"/>
    <w:rsid w:val="00F56294"/>
    <w:rsid w:val="00F5634D"/>
    <w:rsid w:val="00F565BE"/>
    <w:rsid w:val="00F56693"/>
    <w:rsid w:val="00F56734"/>
    <w:rsid w:val="00F569E8"/>
    <w:rsid w:val="00F56E03"/>
    <w:rsid w:val="00F56E5A"/>
    <w:rsid w:val="00F5721B"/>
    <w:rsid w:val="00F5722E"/>
    <w:rsid w:val="00F57735"/>
    <w:rsid w:val="00F57DDE"/>
    <w:rsid w:val="00F57DFD"/>
    <w:rsid w:val="00F6007F"/>
    <w:rsid w:val="00F60084"/>
    <w:rsid w:val="00F6011F"/>
    <w:rsid w:val="00F60237"/>
    <w:rsid w:val="00F603E5"/>
    <w:rsid w:val="00F60413"/>
    <w:rsid w:val="00F6057E"/>
    <w:rsid w:val="00F60806"/>
    <w:rsid w:val="00F6080D"/>
    <w:rsid w:val="00F60861"/>
    <w:rsid w:val="00F60957"/>
    <w:rsid w:val="00F60B9D"/>
    <w:rsid w:val="00F60DB5"/>
    <w:rsid w:val="00F61073"/>
    <w:rsid w:val="00F6118F"/>
    <w:rsid w:val="00F612A2"/>
    <w:rsid w:val="00F613C3"/>
    <w:rsid w:val="00F61414"/>
    <w:rsid w:val="00F615FD"/>
    <w:rsid w:val="00F6160C"/>
    <w:rsid w:val="00F61681"/>
    <w:rsid w:val="00F6178E"/>
    <w:rsid w:val="00F618EB"/>
    <w:rsid w:val="00F6191D"/>
    <w:rsid w:val="00F619EB"/>
    <w:rsid w:val="00F61A70"/>
    <w:rsid w:val="00F61CC7"/>
    <w:rsid w:val="00F6209F"/>
    <w:rsid w:val="00F621AA"/>
    <w:rsid w:val="00F622F6"/>
    <w:rsid w:val="00F626C6"/>
    <w:rsid w:val="00F62FA9"/>
    <w:rsid w:val="00F63161"/>
    <w:rsid w:val="00F6332D"/>
    <w:rsid w:val="00F633AF"/>
    <w:rsid w:val="00F63456"/>
    <w:rsid w:val="00F63C12"/>
    <w:rsid w:val="00F63D92"/>
    <w:rsid w:val="00F63DF0"/>
    <w:rsid w:val="00F63E36"/>
    <w:rsid w:val="00F63E6F"/>
    <w:rsid w:val="00F642A6"/>
    <w:rsid w:val="00F6433A"/>
    <w:rsid w:val="00F6448F"/>
    <w:rsid w:val="00F647F1"/>
    <w:rsid w:val="00F6489D"/>
    <w:rsid w:val="00F64C86"/>
    <w:rsid w:val="00F64D8B"/>
    <w:rsid w:val="00F64E2E"/>
    <w:rsid w:val="00F6510C"/>
    <w:rsid w:val="00F65721"/>
    <w:rsid w:val="00F659CB"/>
    <w:rsid w:val="00F65BB2"/>
    <w:rsid w:val="00F65BCC"/>
    <w:rsid w:val="00F65C86"/>
    <w:rsid w:val="00F65D2C"/>
    <w:rsid w:val="00F65F83"/>
    <w:rsid w:val="00F660EA"/>
    <w:rsid w:val="00F66119"/>
    <w:rsid w:val="00F661C4"/>
    <w:rsid w:val="00F662BF"/>
    <w:rsid w:val="00F667F7"/>
    <w:rsid w:val="00F66863"/>
    <w:rsid w:val="00F66B7E"/>
    <w:rsid w:val="00F66CCA"/>
    <w:rsid w:val="00F66D8C"/>
    <w:rsid w:val="00F6719F"/>
    <w:rsid w:val="00F673B1"/>
    <w:rsid w:val="00F673EA"/>
    <w:rsid w:val="00F674A0"/>
    <w:rsid w:val="00F675A7"/>
    <w:rsid w:val="00F6761A"/>
    <w:rsid w:val="00F6786E"/>
    <w:rsid w:val="00F678BB"/>
    <w:rsid w:val="00F67B28"/>
    <w:rsid w:val="00F67BC9"/>
    <w:rsid w:val="00F67D09"/>
    <w:rsid w:val="00F67D2C"/>
    <w:rsid w:val="00F67E35"/>
    <w:rsid w:val="00F67F8F"/>
    <w:rsid w:val="00F70792"/>
    <w:rsid w:val="00F709FE"/>
    <w:rsid w:val="00F70F04"/>
    <w:rsid w:val="00F70FEB"/>
    <w:rsid w:val="00F71085"/>
    <w:rsid w:val="00F710DE"/>
    <w:rsid w:val="00F710E4"/>
    <w:rsid w:val="00F711CD"/>
    <w:rsid w:val="00F712AB"/>
    <w:rsid w:val="00F71559"/>
    <w:rsid w:val="00F715B0"/>
    <w:rsid w:val="00F71D2C"/>
    <w:rsid w:val="00F71E37"/>
    <w:rsid w:val="00F71FC0"/>
    <w:rsid w:val="00F72114"/>
    <w:rsid w:val="00F72361"/>
    <w:rsid w:val="00F7240D"/>
    <w:rsid w:val="00F72654"/>
    <w:rsid w:val="00F72690"/>
    <w:rsid w:val="00F726F1"/>
    <w:rsid w:val="00F72C59"/>
    <w:rsid w:val="00F72E92"/>
    <w:rsid w:val="00F72F15"/>
    <w:rsid w:val="00F72F3F"/>
    <w:rsid w:val="00F731FE"/>
    <w:rsid w:val="00F73306"/>
    <w:rsid w:val="00F73380"/>
    <w:rsid w:val="00F73443"/>
    <w:rsid w:val="00F73649"/>
    <w:rsid w:val="00F73731"/>
    <w:rsid w:val="00F73771"/>
    <w:rsid w:val="00F73911"/>
    <w:rsid w:val="00F739F0"/>
    <w:rsid w:val="00F739F3"/>
    <w:rsid w:val="00F73AEF"/>
    <w:rsid w:val="00F73D54"/>
    <w:rsid w:val="00F7413C"/>
    <w:rsid w:val="00F741D4"/>
    <w:rsid w:val="00F741EA"/>
    <w:rsid w:val="00F74263"/>
    <w:rsid w:val="00F742F8"/>
    <w:rsid w:val="00F7444C"/>
    <w:rsid w:val="00F74478"/>
    <w:rsid w:val="00F7456B"/>
    <w:rsid w:val="00F749E5"/>
    <w:rsid w:val="00F749EF"/>
    <w:rsid w:val="00F7572A"/>
    <w:rsid w:val="00F75779"/>
    <w:rsid w:val="00F757B2"/>
    <w:rsid w:val="00F7597A"/>
    <w:rsid w:val="00F75EFA"/>
    <w:rsid w:val="00F76017"/>
    <w:rsid w:val="00F76183"/>
    <w:rsid w:val="00F762EA"/>
    <w:rsid w:val="00F7631F"/>
    <w:rsid w:val="00F76362"/>
    <w:rsid w:val="00F76429"/>
    <w:rsid w:val="00F7671D"/>
    <w:rsid w:val="00F76840"/>
    <w:rsid w:val="00F76859"/>
    <w:rsid w:val="00F769B3"/>
    <w:rsid w:val="00F769C9"/>
    <w:rsid w:val="00F76A7E"/>
    <w:rsid w:val="00F76DEF"/>
    <w:rsid w:val="00F76FC7"/>
    <w:rsid w:val="00F7737D"/>
    <w:rsid w:val="00F77600"/>
    <w:rsid w:val="00F7779C"/>
    <w:rsid w:val="00F7785B"/>
    <w:rsid w:val="00F7788A"/>
    <w:rsid w:val="00F77B2B"/>
    <w:rsid w:val="00F77D30"/>
    <w:rsid w:val="00F77EA0"/>
    <w:rsid w:val="00F800CC"/>
    <w:rsid w:val="00F80178"/>
    <w:rsid w:val="00F8025A"/>
    <w:rsid w:val="00F80270"/>
    <w:rsid w:val="00F8043D"/>
    <w:rsid w:val="00F806E9"/>
    <w:rsid w:val="00F8085F"/>
    <w:rsid w:val="00F80861"/>
    <w:rsid w:val="00F80B3C"/>
    <w:rsid w:val="00F80B78"/>
    <w:rsid w:val="00F80CE3"/>
    <w:rsid w:val="00F80CF3"/>
    <w:rsid w:val="00F80E15"/>
    <w:rsid w:val="00F80E93"/>
    <w:rsid w:val="00F80EEC"/>
    <w:rsid w:val="00F80FC0"/>
    <w:rsid w:val="00F813A7"/>
    <w:rsid w:val="00F813EE"/>
    <w:rsid w:val="00F817BB"/>
    <w:rsid w:val="00F81A59"/>
    <w:rsid w:val="00F81C72"/>
    <w:rsid w:val="00F8204D"/>
    <w:rsid w:val="00F82122"/>
    <w:rsid w:val="00F822A0"/>
    <w:rsid w:val="00F82367"/>
    <w:rsid w:val="00F826FE"/>
    <w:rsid w:val="00F828C7"/>
    <w:rsid w:val="00F82A3B"/>
    <w:rsid w:val="00F82D4C"/>
    <w:rsid w:val="00F82DE4"/>
    <w:rsid w:val="00F82E5C"/>
    <w:rsid w:val="00F832C8"/>
    <w:rsid w:val="00F835DA"/>
    <w:rsid w:val="00F83624"/>
    <w:rsid w:val="00F8392A"/>
    <w:rsid w:val="00F83971"/>
    <w:rsid w:val="00F83E8F"/>
    <w:rsid w:val="00F83F8A"/>
    <w:rsid w:val="00F841A2"/>
    <w:rsid w:val="00F842F9"/>
    <w:rsid w:val="00F84399"/>
    <w:rsid w:val="00F846E2"/>
    <w:rsid w:val="00F847CB"/>
    <w:rsid w:val="00F8488F"/>
    <w:rsid w:val="00F849A5"/>
    <w:rsid w:val="00F849B1"/>
    <w:rsid w:val="00F84D33"/>
    <w:rsid w:val="00F851BC"/>
    <w:rsid w:val="00F85220"/>
    <w:rsid w:val="00F8532B"/>
    <w:rsid w:val="00F853E5"/>
    <w:rsid w:val="00F85609"/>
    <w:rsid w:val="00F85669"/>
    <w:rsid w:val="00F85969"/>
    <w:rsid w:val="00F85BFB"/>
    <w:rsid w:val="00F85C16"/>
    <w:rsid w:val="00F85EB4"/>
    <w:rsid w:val="00F85F8E"/>
    <w:rsid w:val="00F8616C"/>
    <w:rsid w:val="00F861BC"/>
    <w:rsid w:val="00F861DF"/>
    <w:rsid w:val="00F86352"/>
    <w:rsid w:val="00F8642B"/>
    <w:rsid w:val="00F865D3"/>
    <w:rsid w:val="00F867A5"/>
    <w:rsid w:val="00F86878"/>
    <w:rsid w:val="00F8698F"/>
    <w:rsid w:val="00F86BF2"/>
    <w:rsid w:val="00F86DA0"/>
    <w:rsid w:val="00F870B9"/>
    <w:rsid w:val="00F871D7"/>
    <w:rsid w:val="00F873E7"/>
    <w:rsid w:val="00F87819"/>
    <w:rsid w:val="00F87B5A"/>
    <w:rsid w:val="00F87C74"/>
    <w:rsid w:val="00F87C86"/>
    <w:rsid w:val="00F90004"/>
    <w:rsid w:val="00F901D3"/>
    <w:rsid w:val="00F903C9"/>
    <w:rsid w:val="00F90418"/>
    <w:rsid w:val="00F905C5"/>
    <w:rsid w:val="00F906C1"/>
    <w:rsid w:val="00F90A2E"/>
    <w:rsid w:val="00F90D95"/>
    <w:rsid w:val="00F90E65"/>
    <w:rsid w:val="00F90E73"/>
    <w:rsid w:val="00F910AB"/>
    <w:rsid w:val="00F910D6"/>
    <w:rsid w:val="00F913D8"/>
    <w:rsid w:val="00F91582"/>
    <w:rsid w:val="00F91804"/>
    <w:rsid w:val="00F91AD2"/>
    <w:rsid w:val="00F91D27"/>
    <w:rsid w:val="00F92236"/>
    <w:rsid w:val="00F922D8"/>
    <w:rsid w:val="00F923F4"/>
    <w:rsid w:val="00F925FD"/>
    <w:rsid w:val="00F9292A"/>
    <w:rsid w:val="00F92D67"/>
    <w:rsid w:val="00F92F1D"/>
    <w:rsid w:val="00F931C1"/>
    <w:rsid w:val="00F93231"/>
    <w:rsid w:val="00F93998"/>
    <w:rsid w:val="00F93ABF"/>
    <w:rsid w:val="00F93DC9"/>
    <w:rsid w:val="00F94198"/>
    <w:rsid w:val="00F943AA"/>
    <w:rsid w:val="00F94639"/>
    <w:rsid w:val="00F949A1"/>
    <w:rsid w:val="00F94A17"/>
    <w:rsid w:val="00F94A35"/>
    <w:rsid w:val="00F94FFF"/>
    <w:rsid w:val="00F9520A"/>
    <w:rsid w:val="00F955E8"/>
    <w:rsid w:val="00F95732"/>
    <w:rsid w:val="00F9583D"/>
    <w:rsid w:val="00F9587C"/>
    <w:rsid w:val="00F95946"/>
    <w:rsid w:val="00F95ACA"/>
    <w:rsid w:val="00F95F4B"/>
    <w:rsid w:val="00F95F8E"/>
    <w:rsid w:val="00F9619F"/>
    <w:rsid w:val="00F96440"/>
    <w:rsid w:val="00F9645E"/>
    <w:rsid w:val="00F967F7"/>
    <w:rsid w:val="00F9693E"/>
    <w:rsid w:val="00F96A50"/>
    <w:rsid w:val="00F96BC4"/>
    <w:rsid w:val="00F96DF4"/>
    <w:rsid w:val="00F9718A"/>
    <w:rsid w:val="00F9725D"/>
    <w:rsid w:val="00F977FD"/>
    <w:rsid w:val="00F97C32"/>
    <w:rsid w:val="00FA004C"/>
    <w:rsid w:val="00FA00A6"/>
    <w:rsid w:val="00FA01FE"/>
    <w:rsid w:val="00FA03C5"/>
    <w:rsid w:val="00FA03F8"/>
    <w:rsid w:val="00FA041F"/>
    <w:rsid w:val="00FA06AF"/>
    <w:rsid w:val="00FA074A"/>
    <w:rsid w:val="00FA08F6"/>
    <w:rsid w:val="00FA0AC9"/>
    <w:rsid w:val="00FA11BC"/>
    <w:rsid w:val="00FA125B"/>
    <w:rsid w:val="00FA1264"/>
    <w:rsid w:val="00FA1420"/>
    <w:rsid w:val="00FA1784"/>
    <w:rsid w:val="00FA1D61"/>
    <w:rsid w:val="00FA1E28"/>
    <w:rsid w:val="00FA1F29"/>
    <w:rsid w:val="00FA1F34"/>
    <w:rsid w:val="00FA227E"/>
    <w:rsid w:val="00FA22D0"/>
    <w:rsid w:val="00FA247F"/>
    <w:rsid w:val="00FA251B"/>
    <w:rsid w:val="00FA2543"/>
    <w:rsid w:val="00FA254E"/>
    <w:rsid w:val="00FA27CE"/>
    <w:rsid w:val="00FA28C2"/>
    <w:rsid w:val="00FA2AC8"/>
    <w:rsid w:val="00FA2C9C"/>
    <w:rsid w:val="00FA2D76"/>
    <w:rsid w:val="00FA3093"/>
    <w:rsid w:val="00FA3488"/>
    <w:rsid w:val="00FA35C9"/>
    <w:rsid w:val="00FA37EE"/>
    <w:rsid w:val="00FA39C0"/>
    <w:rsid w:val="00FA45C7"/>
    <w:rsid w:val="00FA4B3F"/>
    <w:rsid w:val="00FA4B8D"/>
    <w:rsid w:val="00FA4D5F"/>
    <w:rsid w:val="00FA508E"/>
    <w:rsid w:val="00FA5166"/>
    <w:rsid w:val="00FA5342"/>
    <w:rsid w:val="00FA5401"/>
    <w:rsid w:val="00FA5438"/>
    <w:rsid w:val="00FA569D"/>
    <w:rsid w:val="00FA5917"/>
    <w:rsid w:val="00FA59FA"/>
    <w:rsid w:val="00FA5B40"/>
    <w:rsid w:val="00FA5CAB"/>
    <w:rsid w:val="00FA5D69"/>
    <w:rsid w:val="00FA6330"/>
    <w:rsid w:val="00FA65E0"/>
    <w:rsid w:val="00FA669D"/>
    <w:rsid w:val="00FA6F4F"/>
    <w:rsid w:val="00FA707A"/>
    <w:rsid w:val="00FA71FB"/>
    <w:rsid w:val="00FA74C7"/>
    <w:rsid w:val="00FA76E1"/>
    <w:rsid w:val="00FA79AF"/>
    <w:rsid w:val="00FA7AE2"/>
    <w:rsid w:val="00FA7AF5"/>
    <w:rsid w:val="00FA7E06"/>
    <w:rsid w:val="00FA7F20"/>
    <w:rsid w:val="00FA7FCC"/>
    <w:rsid w:val="00FB0046"/>
    <w:rsid w:val="00FB01C7"/>
    <w:rsid w:val="00FB0232"/>
    <w:rsid w:val="00FB03D1"/>
    <w:rsid w:val="00FB03D6"/>
    <w:rsid w:val="00FB0615"/>
    <w:rsid w:val="00FB07E0"/>
    <w:rsid w:val="00FB0800"/>
    <w:rsid w:val="00FB083F"/>
    <w:rsid w:val="00FB0B43"/>
    <w:rsid w:val="00FB0F12"/>
    <w:rsid w:val="00FB1146"/>
    <w:rsid w:val="00FB13A3"/>
    <w:rsid w:val="00FB16CE"/>
    <w:rsid w:val="00FB174E"/>
    <w:rsid w:val="00FB18EE"/>
    <w:rsid w:val="00FB20C9"/>
    <w:rsid w:val="00FB20CC"/>
    <w:rsid w:val="00FB20F7"/>
    <w:rsid w:val="00FB2510"/>
    <w:rsid w:val="00FB262B"/>
    <w:rsid w:val="00FB263F"/>
    <w:rsid w:val="00FB264D"/>
    <w:rsid w:val="00FB267A"/>
    <w:rsid w:val="00FB26B1"/>
    <w:rsid w:val="00FB272F"/>
    <w:rsid w:val="00FB2996"/>
    <w:rsid w:val="00FB2CB7"/>
    <w:rsid w:val="00FB2F44"/>
    <w:rsid w:val="00FB3325"/>
    <w:rsid w:val="00FB34BC"/>
    <w:rsid w:val="00FB34FE"/>
    <w:rsid w:val="00FB368A"/>
    <w:rsid w:val="00FB3B30"/>
    <w:rsid w:val="00FB40BC"/>
    <w:rsid w:val="00FB4160"/>
    <w:rsid w:val="00FB449F"/>
    <w:rsid w:val="00FB45D9"/>
    <w:rsid w:val="00FB4676"/>
    <w:rsid w:val="00FB4944"/>
    <w:rsid w:val="00FB4966"/>
    <w:rsid w:val="00FB4D78"/>
    <w:rsid w:val="00FB4E25"/>
    <w:rsid w:val="00FB4E94"/>
    <w:rsid w:val="00FB523D"/>
    <w:rsid w:val="00FB5376"/>
    <w:rsid w:val="00FB567C"/>
    <w:rsid w:val="00FB5956"/>
    <w:rsid w:val="00FB5D5C"/>
    <w:rsid w:val="00FB5DC9"/>
    <w:rsid w:val="00FB5E98"/>
    <w:rsid w:val="00FB5F80"/>
    <w:rsid w:val="00FB6048"/>
    <w:rsid w:val="00FB615F"/>
    <w:rsid w:val="00FB618E"/>
    <w:rsid w:val="00FB64BB"/>
    <w:rsid w:val="00FB67CC"/>
    <w:rsid w:val="00FB69BA"/>
    <w:rsid w:val="00FB6B2E"/>
    <w:rsid w:val="00FB6B43"/>
    <w:rsid w:val="00FB6B97"/>
    <w:rsid w:val="00FB6C36"/>
    <w:rsid w:val="00FB707F"/>
    <w:rsid w:val="00FB7171"/>
    <w:rsid w:val="00FB72BD"/>
    <w:rsid w:val="00FB741F"/>
    <w:rsid w:val="00FB7427"/>
    <w:rsid w:val="00FB750F"/>
    <w:rsid w:val="00FB76AD"/>
    <w:rsid w:val="00FB7B8C"/>
    <w:rsid w:val="00FB7F53"/>
    <w:rsid w:val="00FC006D"/>
    <w:rsid w:val="00FC0152"/>
    <w:rsid w:val="00FC0218"/>
    <w:rsid w:val="00FC0221"/>
    <w:rsid w:val="00FC04DC"/>
    <w:rsid w:val="00FC0652"/>
    <w:rsid w:val="00FC066D"/>
    <w:rsid w:val="00FC0B6A"/>
    <w:rsid w:val="00FC0DAC"/>
    <w:rsid w:val="00FC0F09"/>
    <w:rsid w:val="00FC0F23"/>
    <w:rsid w:val="00FC11E0"/>
    <w:rsid w:val="00FC15FC"/>
    <w:rsid w:val="00FC18F7"/>
    <w:rsid w:val="00FC1993"/>
    <w:rsid w:val="00FC1B9A"/>
    <w:rsid w:val="00FC1C12"/>
    <w:rsid w:val="00FC2096"/>
    <w:rsid w:val="00FC20C8"/>
    <w:rsid w:val="00FC2254"/>
    <w:rsid w:val="00FC23C8"/>
    <w:rsid w:val="00FC26C7"/>
    <w:rsid w:val="00FC275C"/>
    <w:rsid w:val="00FC290F"/>
    <w:rsid w:val="00FC2927"/>
    <w:rsid w:val="00FC2BC5"/>
    <w:rsid w:val="00FC2BE2"/>
    <w:rsid w:val="00FC2C6F"/>
    <w:rsid w:val="00FC2D21"/>
    <w:rsid w:val="00FC32B1"/>
    <w:rsid w:val="00FC32F9"/>
    <w:rsid w:val="00FC3335"/>
    <w:rsid w:val="00FC36C8"/>
    <w:rsid w:val="00FC39F8"/>
    <w:rsid w:val="00FC3C09"/>
    <w:rsid w:val="00FC407D"/>
    <w:rsid w:val="00FC429C"/>
    <w:rsid w:val="00FC43C2"/>
    <w:rsid w:val="00FC44FB"/>
    <w:rsid w:val="00FC46B6"/>
    <w:rsid w:val="00FC46F1"/>
    <w:rsid w:val="00FC4BA5"/>
    <w:rsid w:val="00FC53C2"/>
    <w:rsid w:val="00FC549C"/>
    <w:rsid w:val="00FC570A"/>
    <w:rsid w:val="00FC575A"/>
    <w:rsid w:val="00FC576D"/>
    <w:rsid w:val="00FC584D"/>
    <w:rsid w:val="00FC5949"/>
    <w:rsid w:val="00FC5DB9"/>
    <w:rsid w:val="00FC5F52"/>
    <w:rsid w:val="00FC63DC"/>
    <w:rsid w:val="00FC67A2"/>
    <w:rsid w:val="00FC686D"/>
    <w:rsid w:val="00FC6AE5"/>
    <w:rsid w:val="00FC6BD0"/>
    <w:rsid w:val="00FC6C06"/>
    <w:rsid w:val="00FC6EA1"/>
    <w:rsid w:val="00FC6FE0"/>
    <w:rsid w:val="00FC734C"/>
    <w:rsid w:val="00FC750C"/>
    <w:rsid w:val="00FC7516"/>
    <w:rsid w:val="00FC7645"/>
    <w:rsid w:val="00FC768B"/>
    <w:rsid w:val="00FC76CC"/>
    <w:rsid w:val="00FC7817"/>
    <w:rsid w:val="00FC794B"/>
    <w:rsid w:val="00FC7A8A"/>
    <w:rsid w:val="00FC7C36"/>
    <w:rsid w:val="00FC7C7E"/>
    <w:rsid w:val="00FC7CE3"/>
    <w:rsid w:val="00FC7D01"/>
    <w:rsid w:val="00FC7D05"/>
    <w:rsid w:val="00FD012C"/>
    <w:rsid w:val="00FD0481"/>
    <w:rsid w:val="00FD0897"/>
    <w:rsid w:val="00FD0968"/>
    <w:rsid w:val="00FD0B35"/>
    <w:rsid w:val="00FD0E01"/>
    <w:rsid w:val="00FD0F48"/>
    <w:rsid w:val="00FD1184"/>
    <w:rsid w:val="00FD1297"/>
    <w:rsid w:val="00FD1763"/>
    <w:rsid w:val="00FD1925"/>
    <w:rsid w:val="00FD19D2"/>
    <w:rsid w:val="00FD1B55"/>
    <w:rsid w:val="00FD1E5D"/>
    <w:rsid w:val="00FD1FFE"/>
    <w:rsid w:val="00FD2022"/>
    <w:rsid w:val="00FD247A"/>
    <w:rsid w:val="00FD2602"/>
    <w:rsid w:val="00FD270B"/>
    <w:rsid w:val="00FD2730"/>
    <w:rsid w:val="00FD28AC"/>
    <w:rsid w:val="00FD2A26"/>
    <w:rsid w:val="00FD2C27"/>
    <w:rsid w:val="00FD2C33"/>
    <w:rsid w:val="00FD2E21"/>
    <w:rsid w:val="00FD2EF4"/>
    <w:rsid w:val="00FD2F63"/>
    <w:rsid w:val="00FD3419"/>
    <w:rsid w:val="00FD3569"/>
    <w:rsid w:val="00FD3840"/>
    <w:rsid w:val="00FD3867"/>
    <w:rsid w:val="00FD3BD4"/>
    <w:rsid w:val="00FD3E87"/>
    <w:rsid w:val="00FD4336"/>
    <w:rsid w:val="00FD434F"/>
    <w:rsid w:val="00FD4488"/>
    <w:rsid w:val="00FD46AA"/>
    <w:rsid w:val="00FD498A"/>
    <w:rsid w:val="00FD4CAC"/>
    <w:rsid w:val="00FD4E42"/>
    <w:rsid w:val="00FD500E"/>
    <w:rsid w:val="00FD510E"/>
    <w:rsid w:val="00FD5380"/>
    <w:rsid w:val="00FD5403"/>
    <w:rsid w:val="00FD55B2"/>
    <w:rsid w:val="00FD56C9"/>
    <w:rsid w:val="00FD58DA"/>
    <w:rsid w:val="00FD5917"/>
    <w:rsid w:val="00FD595F"/>
    <w:rsid w:val="00FD5A8F"/>
    <w:rsid w:val="00FD5BB6"/>
    <w:rsid w:val="00FD5C9B"/>
    <w:rsid w:val="00FD5E7D"/>
    <w:rsid w:val="00FD5FFC"/>
    <w:rsid w:val="00FD60A9"/>
    <w:rsid w:val="00FD6109"/>
    <w:rsid w:val="00FD61E6"/>
    <w:rsid w:val="00FD630E"/>
    <w:rsid w:val="00FD648A"/>
    <w:rsid w:val="00FD6514"/>
    <w:rsid w:val="00FD6554"/>
    <w:rsid w:val="00FD65A6"/>
    <w:rsid w:val="00FD6B7D"/>
    <w:rsid w:val="00FD6D00"/>
    <w:rsid w:val="00FD6E4E"/>
    <w:rsid w:val="00FD7239"/>
    <w:rsid w:val="00FD7290"/>
    <w:rsid w:val="00FD75AE"/>
    <w:rsid w:val="00FD7659"/>
    <w:rsid w:val="00FD765A"/>
    <w:rsid w:val="00FD791F"/>
    <w:rsid w:val="00FD7976"/>
    <w:rsid w:val="00FD7A5F"/>
    <w:rsid w:val="00FD7A9B"/>
    <w:rsid w:val="00FD7AD9"/>
    <w:rsid w:val="00FD7B32"/>
    <w:rsid w:val="00FE014D"/>
    <w:rsid w:val="00FE01A4"/>
    <w:rsid w:val="00FE0DCD"/>
    <w:rsid w:val="00FE0DD0"/>
    <w:rsid w:val="00FE0E48"/>
    <w:rsid w:val="00FE0EC9"/>
    <w:rsid w:val="00FE0F15"/>
    <w:rsid w:val="00FE0FFD"/>
    <w:rsid w:val="00FE1372"/>
    <w:rsid w:val="00FE1842"/>
    <w:rsid w:val="00FE1EF2"/>
    <w:rsid w:val="00FE27CF"/>
    <w:rsid w:val="00FE297C"/>
    <w:rsid w:val="00FE29DB"/>
    <w:rsid w:val="00FE2A8E"/>
    <w:rsid w:val="00FE2ADC"/>
    <w:rsid w:val="00FE2C18"/>
    <w:rsid w:val="00FE3130"/>
    <w:rsid w:val="00FE3151"/>
    <w:rsid w:val="00FE31C2"/>
    <w:rsid w:val="00FE3239"/>
    <w:rsid w:val="00FE328B"/>
    <w:rsid w:val="00FE32B1"/>
    <w:rsid w:val="00FE3306"/>
    <w:rsid w:val="00FE33A7"/>
    <w:rsid w:val="00FE3425"/>
    <w:rsid w:val="00FE34B8"/>
    <w:rsid w:val="00FE355C"/>
    <w:rsid w:val="00FE35EE"/>
    <w:rsid w:val="00FE3B6A"/>
    <w:rsid w:val="00FE3BD5"/>
    <w:rsid w:val="00FE3C56"/>
    <w:rsid w:val="00FE3C59"/>
    <w:rsid w:val="00FE3C7D"/>
    <w:rsid w:val="00FE4107"/>
    <w:rsid w:val="00FE414A"/>
    <w:rsid w:val="00FE4544"/>
    <w:rsid w:val="00FE4567"/>
    <w:rsid w:val="00FE47FE"/>
    <w:rsid w:val="00FE4906"/>
    <w:rsid w:val="00FE4D4A"/>
    <w:rsid w:val="00FE5649"/>
    <w:rsid w:val="00FE5788"/>
    <w:rsid w:val="00FE58DA"/>
    <w:rsid w:val="00FE58E1"/>
    <w:rsid w:val="00FE5A22"/>
    <w:rsid w:val="00FE5B35"/>
    <w:rsid w:val="00FE5C20"/>
    <w:rsid w:val="00FE5D19"/>
    <w:rsid w:val="00FE5FDA"/>
    <w:rsid w:val="00FE6073"/>
    <w:rsid w:val="00FE623C"/>
    <w:rsid w:val="00FE62E0"/>
    <w:rsid w:val="00FE6386"/>
    <w:rsid w:val="00FE656C"/>
    <w:rsid w:val="00FE6662"/>
    <w:rsid w:val="00FE66E8"/>
    <w:rsid w:val="00FE68C2"/>
    <w:rsid w:val="00FE6C12"/>
    <w:rsid w:val="00FE6C79"/>
    <w:rsid w:val="00FE6E2F"/>
    <w:rsid w:val="00FE76FF"/>
    <w:rsid w:val="00FE790B"/>
    <w:rsid w:val="00FE7B39"/>
    <w:rsid w:val="00FE7C73"/>
    <w:rsid w:val="00FE7D02"/>
    <w:rsid w:val="00FF01C2"/>
    <w:rsid w:val="00FF0315"/>
    <w:rsid w:val="00FF031F"/>
    <w:rsid w:val="00FF0343"/>
    <w:rsid w:val="00FF037F"/>
    <w:rsid w:val="00FF03D5"/>
    <w:rsid w:val="00FF0462"/>
    <w:rsid w:val="00FF068E"/>
    <w:rsid w:val="00FF0895"/>
    <w:rsid w:val="00FF08BD"/>
    <w:rsid w:val="00FF0B57"/>
    <w:rsid w:val="00FF0C4D"/>
    <w:rsid w:val="00FF0C8F"/>
    <w:rsid w:val="00FF0DC4"/>
    <w:rsid w:val="00FF10B9"/>
    <w:rsid w:val="00FF151F"/>
    <w:rsid w:val="00FF1744"/>
    <w:rsid w:val="00FF189E"/>
    <w:rsid w:val="00FF196B"/>
    <w:rsid w:val="00FF1D2B"/>
    <w:rsid w:val="00FF1D55"/>
    <w:rsid w:val="00FF1FEF"/>
    <w:rsid w:val="00FF2229"/>
    <w:rsid w:val="00FF23B2"/>
    <w:rsid w:val="00FF24DC"/>
    <w:rsid w:val="00FF25E7"/>
    <w:rsid w:val="00FF26BC"/>
    <w:rsid w:val="00FF271D"/>
    <w:rsid w:val="00FF298D"/>
    <w:rsid w:val="00FF2BA1"/>
    <w:rsid w:val="00FF3241"/>
    <w:rsid w:val="00FF34B6"/>
    <w:rsid w:val="00FF34C4"/>
    <w:rsid w:val="00FF34EA"/>
    <w:rsid w:val="00FF34EC"/>
    <w:rsid w:val="00FF36A1"/>
    <w:rsid w:val="00FF3905"/>
    <w:rsid w:val="00FF3A14"/>
    <w:rsid w:val="00FF3ABE"/>
    <w:rsid w:val="00FF3CAA"/>
    <w:rsid w:val="00FF40FA"/>
    <w:rsid w:val="00FF456F"/>
    <w:rsid w:val="00FF45BC"/>
    <w:rsid w:val="00FF4B45"/>
    <w:rsid w:val="00FF4D2B"/>
    <w:rsid w:val="00FF54F4"/>
    <w:rsid w:val="00FF56B2"/>
    <w:rsid w:val="00FF57A3"/>
    <w:rsid w:val="00FF5AF7"/>
    <w:rsid w:val="00FF5BDD"/>
    <w:rsid w:val="00FF5C29"/>
    <w:rsid w:val="00FF5FDD"/>
    <w:rsid w:val="00FF605D"/>
    <w:rsid w:val="00FF621B"/>
    <w:rsid w:val="00FF6244"/>
    <w:rsid w:val="00FF675D"/>
    <w:rsid w:val="00FF6801"/>
    <w:rsid w:val="00FF6A74"/>
    <w:rsid w:val="00FF74E7"/>
    <w:rsid w:val="00FF76E0"/>
    <w:rsid w:val="00FF77B1"/>
    <w:rsid w:val="00FF7BE4"/>
    <w:rsid w:val="00FF7E9E"/>
    <w:rsid w:val="00FF7F57"/>
    <w:rsid w:val="0153945A"/>
    <w:rsid w:val="017E8C2C"/>
    <w:rsid w:val="01CC2FA6"/>
    <w:rsid w:val="02258084"/>
    <w:rsid w:val="02828166"/>
    <w:rsid w:val="0286C0BB"/>
    <w:rsid w:val="02A56F3F"/>
    <w:rsid w:val="02B24809"/>
    <w:rsid w:val="0316456A"/>
    <w:rsid w:val="040A0E3E"/>
    <w:rsid w:val="04564401"/>
    <w:rsid w:val="04737F12"/>
    <w:rsid w:val="0493FC16"/>
    <w:rsid w:val="04BEC50E"/>
    <w:rsid w:val="05034F5A"/>
    <w:rsid w:val="05155C49"/>
    <w:rsid w:val="05C65EBB"/>
    <w:rsid w:val="05DFBE87"/>
    <w:rsid w:val="0630D734"/>
    <w:rsid w:val="06333122"/>
    <w:rsid w:val="0640AB93"/>
    <w:rsid w:val="0641F535"/>
    <w:rsid w:val="0716F23F"/>
    <w:rsid w:val="0760CDB0"/>
    <w:rsid w:val="078B098A"/>
    <w:rsid w:val="07ABF0D2"/>
    <w:rsid w:val="07B40149"/>
    <w:rsid w:val="07BA80A8"/>
    <w:rsid w:val="07E00E16"/>
    <w:rsid w:val="07E5B115"/>
    <w:rsid w:val="07F9457C"/>
    <w:rsid w:val="082E2D00"/>
    <w:rsid w:val="0879FED8"/>
    <w:rsid w:val="087BB6A4"/>
    <w:rsid w:val="08E3044B"/>
    <w:rsid w:val="0967D8FB"/>
    <w:rsid w:val="09CE3ED9"/>
    <w:rsid w:val="09D23CA8"/>
    <w:rsid w:val="0A04BB57"/>
    <w:rsid w:val="0A17D60E"/>
    <w:rsid w:val="0A3FFAAC"/>
    <w:rsid w:val="0A519521"/>
    <w:rsid w:val="0AA23CDD"/>
    <w:rsid w:val="0AC98B9D"/>
    <w:rsid w:val="0AF0946C"/>
    <w:rsid w:val="0AF4F2B5"/>
    <w:rsid w:val="0C5B36B0"/>
    <w:rsid w:val="0C9AA490"/>
    <w:rsid w:val="0D00081C"/>
    <w:rsid w:val="0D31C44C"/>
    <w:rsid w:val="0DD98413"/>
    <w:rsid w:val="0E268505"/>
    <w:rsid w:val="0EC12D61"/>
    <w:rsid w:val="0EC8CE0E"/>
    <w:rsid w:val="0F8B0093"/>
    <w:rsid w:val="0F8EC136"/>
    <w:rsid w:val="0FABDAA4"/>
    <w:rsid w:val="10015ACF"/>
    <w:rsid w:val="104356D8"/>
    <w:rsid w:val="10D518BB"/>
    <w:rsid w:val="10EBF6A7"/>
    <w:rsid w:val="1122AD8A"/>
    <w:rsid w:val="11A92ABE"/>
    <w:rsid w:val="11B04E30"/>
    <w:rsid w:val="11B4821C"/>
    <w:rsid w:val="12881FD7"/>
    <w:rsid w:val="12FEAC64"/>
    <w:rsid w:val="130A4321"/>
    <w:rsid w:val="135D0BD8"/>
    <w:rsid w:val="13B2CB37"/>
    <w:rsid w:val="13B5F5EE"/>
    <w:rsid w:val="13DB4EA3"/>
    <w:rsid w:val="13DE37A9"/>
    <w:rsid w:val="13E6050D"/>
    <w:rsid w:val="14AAD569"/>
    <w:rsid w:val="15002A7C"/>
    <w:rsid w:val="15512E62"/>
    <w:rsid w:val="15BA60FC"/>
    <w:rsid w:val="15CCA5B4"/>
    <w:rsid w:val="15CF7B84"/>
    <w:rsid w:val="15CFFFE6"/>
    <w:rsid w:val="15FFEEBB"/>
    <w:rsid w:val="16732D5B"/>
    <w:rsid w:val="16BE049A"/>
    <w:rsid w:val="16C06F67"/>
    <w:rsid w:val="16C99C34"/>
    <w:rsid w:val="171AB524"/>
    <w:rsid w:val="17A145DA"/>
    <w:rsid w:val="17D98AFD"/>
    <w:rsid w:val="18220285"/>
    <w:rsid w:val="184E1961"/>
    <w:rsid w:val="185B17B8"/>
    <w:rsid w:val="18D43532"/>
    <w:rsid w:val="19098BD1"/>
    <w:rsid w:val="19167B25"/>
    <w:rsid w:val="191FD507"/>
    <w:rsid w:val="1920DE8B"/>
    <w:rsid w:val="195AA229"/>
    <w:rsid w:val="195EAA4A"/>
    <w:rsid w:val="1987D242"/>
    <w:rsid w:val="1993C994"/>
    <w:rsid w:val="1A9BFB30"/>
    <w:rsid w:val="1ABADD2F"/>
    <w:rsid w:val="1AE6B563"/>
    <w:rsid w:val="1B3F5315"/>
    <w:rsid w:val="1C3B181C"/>
    <w:rsid w:val="1CAFC70A"/>
    <w:rsid w:val="1D1FC5A6"/>
    <w:rsid w:val="1E08CDCC"/>
    <w:rsid w:val="1E25F66C"/>
    <w:rsid w:val="1E525925"/>
    <w:rsid w:val="1E648E48"/>
    <w:rsid w:val="1E8440EF"/>
    <w:rsid w:val="1E89C13D"/>
    <w:rsid w:val="1EB819B5"/>
    <w:rsid w:val="1F5866EA"/>
    <w:rsid w:val="1FF464BE"/>
    <w:rsid w:val="20711EC4"/>
    <w:rsid w:val="20FBF5D9"/>
    <w:rsid w:val="217E7A06"/>
    <w:rsid w:val="21D55BC2"/>
    <w:rsid w:val="21D8BD86"/>
    <w:rsid w:val="21F811D3"/>
    <w:rsid w:val="2251444A"/>
    <w:rsid w:val="226E8870"/>
    <w:rsid w:val="229D265C"/>
    <w:rsid w:val="22ABED7B"/>
    <w:rsid w:val="22CF54ED"/>
    <w:rsid w:val="22FBC8BD"/>
    <w:rsid w:val="23104818"/>
    <w:rsid w:val="235EC56B"/>
    <w:rsid w:val="23B11F48"/>
    <w:rsid w:val="23C7370C"/>
    <w:rsid w:val="23CC1A51"/>
    <w:rsid w:val="24049CED"/>
    <w:rsid w:val="2449AEE8"/>
    <w:rsid w:val="24918413"/>
    <w:rsid w:val="259B2335"/>
    <w:rsid w:val="25CAAC1B"/>
    <w:rsid w:val="25D77015"/>
    <w:rsid w:val="25F585FD"/>
    <w:rsid w:val="270A38E4"/>
    <w:rsid w:val="2715EA1D"/>
    <w:rsid w:val="274B8D34"/>
    <w:rsid w:val="27D65B47"/>
    <w:rsid w:val="2816C905"/>
    <w:rsid w:val="2827A575"/>
    <w:rsid w:val="28A69418"/>
    <w:rsid w:val="28BD406E"/>
    <w:rsid w:val="29022A94"/>
    <w:rsid w:val="292DCC2E"/>
    <w:rsid w:val="2951F6FF"/>
    <w:rsid w:val="29B9BD4B"/>
    <w:rsid w:val="29FDFC6E"/>
    <w:rsid w:val="2A158A9A"/>
    <w:rsid w:val="2A4A0FB5"/>
    <w:rsid w:val="2A57DF28"/>
    <w:rsid w:val="2A6CB538"/>
    <w:rsid w:val="2A81F9C4"/>
    <w:rsid w:val="2A9F2974"/>
    <w:rsid w:val="2AB3CDE6"/>
    <w:rsid w:val="2AB46091"/>
    <w:rsid w:val="2ACE32F7"/>
    <w:rsid w:val="2B40EAAB"/>
    <w:rsid w:val="2BF22DE0"/>
    <w:rsid w:val="2C0E39BB"/>
    <w:rsid w:val="2C0ECB71"/>
    <w:rsid w:val="2C3B1EED"/>
    <w:rsid w:val="2C8E69DD"/>
    <w:rsid w:val="2CA99639"/>
    <w:rsid w:val="2CAB424F"/>
    <w:rsid w:val="2CB98AD6"/>
    <w:rsid w:val="2D56BCBF"/>
    <w:rsid w:val="2D8931DA"/>
    <w:rsid w:val="2D9800C0"/>
    <w:rsid w:val="2E50D202"/>
    <w:rsid w:val="2E59F7E0"/>
    <w:rsid w:val="2E7C2234"/>
    <w:rsid w:val="2EC263FB"/>
    <w:rsid w:val="2F058A92"/>
    <w:rsid w:val="2F3D5157"/>
    <w:rsid w:val="2FF94573"/>
    <w:rsid w:val="30912E98"/>
    <w:rsid w:val="309F4CA0"/>
    <w:rsid w:val="30B53653"/>
    <w:rsid w:val="314CD972"/>
    <w:rsid w:val="32184CD1"/>
    <w:rsid w:val="32386996"/>
    <w:rsid w:val="327E2352"/>
    <w:rsid w:val="328A35BD"/>
    <w:rsid w:val="32C9291F"/>
    <w:rsid w:val="32CD8E0B"/>
    <w:rsid w:val="330913A6"/>
    <w:rsid w:val="33304676"/>
    <w:rsid w:val="336697B7"/>
    <w:rsid w:val="33C5AAC3"/>
    <w:rsid w:val="33CE1865"/>
    <w:rsid w:val="34116B20"/>
    <w:rsid w:val="342A61E2"/>
    <w:rsid w:val="34459ED8"/>
    <w:rsid w:val="34DE9D30"/>
    <w:rsid w:val="34E56A1C"/>
    <w:rsid w:val="3509C71F"/>
    <w:rsid w:val="351449B3"/>
    <w:rsid w:val="354BBFC4"/>
    <w:rsid w:val="354C447B"/>
    <w:rsid w:val="355C3C1D"/>
    <w:rsid w:val="35FA36F8"/>
    <w:rsid w:val="363D6F79"/>
    <w:rsid w:val="364B3520"/>
    <w:rsid w:val="36752687"/>
    <w:rsid w:val="36C6976C"/>
    <w:rsid w:val="36D4D473"/>
    <w:rsid w:val="36D6C1D3"/>
    <w:rsid w:val="37009ABE"/>
    <w:rsid w:val="372B9491"/>
    <w:rsid w:val="375AC411"/>
    <w:rsid w:val="37A2918A"/>
    <w:rsid w:val="37B99610"/>
    <w:rsid w:val="37E334AE"/>
    <w:rsid w:val="382FEDF1"/>
    <w:rsid w:val="387B977F"/>
    <w:rsid w:val="38B64053"/>
    <w:rsid w:val="38C7934E"/>
    <w:rsid w:val="392A4265"/>
    <w:rsid w:val="3A68C7DC"/>
    <w:rsid w:val="3ABB073C"/>
    <w:rsid w:val="3ABCBF9C"/>
    <w:rsid w:val="3ACB78BE"/>
    <w:rsid w:val="3B304C20"/>
    <w:rsid w:val="3BAB384A"/>
    <w:rsid w:val="3BC4D0FD"/>
    <w:rsid w:val="3BDBEEB4"/>
    <w:rsid w:val="3C1FE7A4"/>
    <w:rsid w:val="3C31DFBD"/>
    <w:rsid w:val="3CF6F64E"/>
    <w:rsid w:val="3D1DBB48"/>
    <w:rsid w:val="3D3332F1"/>
    <w:rsid w:val="3D433C05"/>
    <w:rsid w:val="3D8D1B4B"/>
    <w:rsid w:val="3E918830"/>
    <w:rsid w:val="3EC61479"/>
    <w:rsid w:val="3F4891A6"/>
    <w:rsid w:val="3F6AD92B"/>
    <w:rsid w:val="401FFB42"/>
    <w:rsid w:val="4020B69C"/>
    <w:rsid w:val="405AB48D"/>
    <w:rsid w:val="405F5162"/>
    <w:rsid w:val="409360B8"/>
    <w:rsid w:val="409C405A"/>
    <w:rsid w:val="409CEC24"/>
    <w:rsid w:val="40A5442C"/>
    <w:rsid w:val="413C1D2A"/>
    <w:rsid w:val="41BBF397"/>
    <w:rsid w:val="425FD42E"/>
    <w:rsid w:val="42B1E0A8"/>
    <w:rsid w:val="42FECE78"/>
    <w:rsid w:val="430E02E3"/>
    <w:rsid w:val="43384F7A"/>
    <w:rsid w:val="43C3A3F9"/>
    <w:rsid w:val="43F17E9D"/>
    <w:rsid w:val="449B862F"/>
    <w:rsid w:val="44D79D4C"/>
    <w:rsid w:val="4504898A"/>
    <w:rsid w:val="4543CD95"/>
    <w:rsid w:val="455DF9E6"/>
    <w:rsid w:val="45A5324E"/>
    <w:rsid w:val="45E94532"/>
    <w:rsid w:val="45FAC9C7"/>
    <w:rsid w:val="46613232"/>
    <w:rsid w:val="46F4CC6B"/>
    <w:rsid w:val="4703B6D2"/>
    <w:rsid w:val="475E9CB3"/>
    <w:rsid w:val="47BF8813"/>
    <w:rsid w:val="47EEA984"/>
    <w:rsid w:val="4802CA88"/>
    <w:rsid w:val="484C77C2"/>
    <w:rsid w:val="48FE4645"/>
    <w:rsid w:val="49242CC8"/>
    <w:rsid w:val="497AE69F"/>
    <w:rsid w:val="4A0DB1A5"/>
    <w:rsid w:val="4ADAD774"/>
    <w:rsid w:val="4AEB2B02"/>
    <w:rsid w:val="4AF50882"/>
    <w:rsid w:val="4BA8C30F"/>
    <w:rsid w:val="4BB2F9DD"/>
    <w:rsid w:val="4BFC8406"/>
    <w:rsid w:val="4C0F34D8"/>
    <w:rsid w:val="4C10E873"/>
    <w:rsid w:val="4C79028F"/>
    <w:rsid w:val="4CB59836"/>
    <w:rsid w:val="4CBCD634"/>
    <w:rsid w:val="4D7C2BF9"/>
    <w:rsid w:val="4D848673"/>
    <w:rsid w:val="4DF6D33F"/>
    <w:rsid w:val="4E03D6EE"/>
    <w:rsid w:val="4E888CBB"/>
    <w:rsid w:val="4EDA910C"/>
    <w:rsid w:val="4EEF5931"/>
    <w:rsid w:val="4F89C0DD"/>
    <w:rsid w:val="4FAF08E2"/>
    <w:rsid w:val="504998E9"/>
    <w:rsid w:val="5050288A"/>
    <w:rsid w:val="508B3D7E"/>
    <w:rsid w:val="510AA42C"/>
    <w:rsid w:val="513247DB"/>
    <w:rsid w:val="514A0C04"/>
    <w:rsid w:val="514B9A3C"/>
    <w:rsid w:val="51D5B871"/>
    <w:rsid w:val="521F4200"/>
    <w:rsid w:val="52A4A77F"/>
    <w:rsid w:val="52C15DCB"/>
    <w:rsid w:val="52E3E920"/>
    <w:rsid w:val="52F6A537"/>
    <w:rsid w:val="53332647"/>
    <w:rsid w:val="53B4A541"/>
    <w:rsid w:val="53B66F86"/>
    <w:rsid w:val="53B9FB7B"/>
    <w:rsid w:val="53D02456"/>
    <w:rsid w:val="53FCC4FF"/>
    <w:rsid w:val="540E2241"/>
    <w:rsid w:val="542E2CC6"/>
    <w:rsid w:val="5446D907"/>
    <w:rsid w:val="546D5C54"/>
    <w:rsid w:val="54CF8676"/>
    <w:rsid w:val="55170970"/>
    <w:rsid w:val="554BD8CF"/>
    <w:rsid w:val="55D29705"/>
    <w:rsid w:val="55E8C1B7"/>
    <w:rsid w:val="55F0ED96"/>
    <w:rsid w:val="560D3847"/>
    <w:rsid w:val="56541717"/>
    <w:rsid w:val="5658B48F"/>
    <w:rsid w:val="56EFCBE5"/>
    <w:rsid w:val="5712D1CB"/>
    <w:rsid w:val="573EE604"/>
    <w:rsid w:val="575A76BF"/>
    <w:rsid w:val="57C810EC"/>
    <w:rsid w:val="57FDFAB1"/>
    <w:rsid w:val="58189418"/>
    <w:rsid w:val="58A7323E"/>
    <w:rsid w:val="58B27523"/>
    <w:rsid w:val="58D839E6"/>
    <w:rsid w:val="598CFD0B"/>
    <w:rsid w:val="5A102D09"/>
    <w:rsid w:val="5A9943C8"/>
    <w:rsid w:val="5AF44DDF"/>
    <w:rsid w:val="5B1B97EE"/>
    <w:rsid w:val="5B415A1D"/>
    <w:rsid w:val="5B4EF79A"/>
    <w:rsid w:val="5B606B90"/>
    <w:rsid w:val="5B6532F7"/>
    <w:rsid w:val="5BC2FB84"/>
    <w:rsid w:val="5BF7CB31"/>
    <w:rsid w:val="5C15D194"/>
    <w:rsid w:val="5C3926E6"/>
    <w:rsid w:val="5C9A1C27"/>
    <w:rsid w:val="5CB3B890"/>
    <w:rsid w:val="5D028B07"/>
    <w:rsid w:val="5D1C75D1"/>
    <w:rsid w:val="5D50B5AC"/>
    <w:rsid w:val="5D87CF74"/>
    <w:rsid w:val="5DAF4568"/>
    <w:rsid w:val="5DC53EB5"/>
    <w:rsid w:val="5E0E96D9"/>
    <w:rsid w:val="5E1FDCCD"/>
    <w:rsid w:val="5E360484"/>
    <w:rsid w:val="5EAC29C3"/>
    <w:rsid w:val="5EE7489A"/>
    <w:rsid w:val="5F480B35"/>
    <w:rsid w:val="5F588585"/>
    <w:rsid w:val="5F85D641"/>
    <w:rsid w:val="603BE4D7"/>
    <w:rsid w:val="6086F230"/>
    <w:rsid w:val="60DC5CE4"/>
    <w:rsid w:val="60F1AB21"/>
    <w:rsid w:val="60F71CA4"/>
    <w:rsid w:val="611D54B1"/>
    <w:rsid w:val="6121B09F"/>
    <w:rsid w:val="6185A559"/>
    <w:rsid w:val="6190E4F9"/>
    <w:rsid w:val="61BCA844"/>
    <w:rsid w:val="61F18E5B"/>
    <w:rsid w:val="6232D9E2"/>
    <w:rsid w:val="62B18784"/>
    <w:rsid w:val="62C2B00A"/>
    <w:rsid w:val="62E44D16"/>
    <w:rsid w:val="62E7616C"/>
    <w:rsid w:val="62FA7FB6"/>
    <w:rsid w:val="63C5F4A2"/>
    <w:rsid w:val="63D1CF0F"/>
    <w:rsid w:val="64A31A5B"/>
    <w:rsid w:val="64E0C8C4"/>
    <w:rsid w:val="64E713F6"/>
    <w:rsid w:val="6529D13D"/>
    <w:rsid w:val="65A253C9"/>
    <w:rsid w:val="65A2CFFF"/>
    <w:rsid w:val="660BDC54"/>
    <w:rsid w:val="664AB035"/>
    <w:rsid w:val="66AFD40B"/>
    <w:rsid w:val="66D706B4"/>
    <w:rsid w:val="6711D8B3"/>
    <w:rsid w:val="68A6CA59"/>
    <w:rsid w:val="68DEC767"/>
    <w:rsid w:val="68F14AE6"/>
    <w:rsid w:val="68F8A9AE"/>
    <w:rsid w:val="6915C9BD"/>
    <w:rsid w:val="69538596"/>
    <w:rsid w:val="69A942C8"/>
    <w:rsid w:val="69FDAF71"/>
    <w:rsid w:val="6A2CB197"/>
    <w:rsid w:val="6A2E1E7E"/>
    <w:rsid w:val="6A4B647B"/>
    <w:rsid w:val="6A768283"/>
    <w:rsid w:val="6A7854CF"/>
    <w:rsid w:val="6A964C2F"/>
    <w:rsid w:val="6A9AD369"/>
    <w:rsid w:val="6ADEFED7"/>
    <w:rsid w:val="6B20224F"/>
    <w:rsid w:val="6B2D6F26"/>
    <w:rsid w:val="6B3D491E"/>
    <w:rsid w:val="6B5C5622"/>
    <w:rsid w:val="6B64AB57"/>
    <w:rsid w:val="6B699A28"/>
    <w:rsid w:val="6B77A4B3"/>
    <w:rsid w:val="6B8894EE"/>
    <w:rsid w:val="6B948931"/>
    <w:rsid w:val="6BA6B39B"/>
    <w:rsid w:val="6BE9FAF0"/>
    <w:rsid w:val="6C11603F"/>
    <w:rsid w:val="6C4501A4"/>
    <w:rsid w:val="6CAC3A4A"/>
    <w:rsid w:val="6CB31A5C"/>
    <w:rsid w:val="6CF31C94"/>
    <w:rsid w:val="6D0D89E1"/>
    <w:rsid w:val="6D107062"/>
    <w:rsid w:val="6DCCB3A5"/>
    <w:rsid w:val="6DE9C225"/>
    <w:rsid w:val="6DF5F6E5"/>
    <w:rsid w:val="6E80B19C"/>
    <w:rsid w:val="6EC1072B"/>
    <w:rsid w:val="6EEB1D0C"/>
    <w:rsid w:val="6EF5E0DE"/>
    <w:rsid w:val="6F15CF0C"/>
    <w:rsid w:val="6F17D85B"/>
    <w:rsid w:val="6F19895B"/>
    <w:rsid w:val="6F4C503E"/>
    <w:rsid w:val="6F4D7E8C"/>
    <w:rsid w:val="6F77BC0A"/>
    <w:rsid w:val="6F81EDDF"/>
    <w:rsid w:val="6FF6D2FC"/>
    <w:rsid w:val="7009A62B"/>
    <w:rsid w:val="70499F4B"/>
    <w:rsid w:val="71478E3A"/>
    <w:rsid w:val="71675BE1"/>
    <w:rsid w:val="7174C2CD"/>
    <w:rsid w:val="71911291"/>
    <w:rsid w:val="721E0398"/>
    <w:rsid w:val="72348B7E"/>
    <w:rsid w:val="7249B906"/>
    <w:rsid w:val="7262D30F"/>
    <w:rsid w:val="72DA46AA"/>
    <w:rsid w:val="734C1779"/>
    <w:rsid w:val="7442CE2F"/>
    <w:rsid w:val="751E4053"/>
    <w:rsid w:val="75754061"/>
    <w:rsid w:val="75F086E9"/>
    <w:rsid w:val="762E86A8"/>
    <w:rsid w:val="76AD7711"/>
    <w:rsid w:val="772D0C68"/>
    <w:rsid w:val="7761CCAA"/>
    <w:rsid w:val="77787B39"/>
    <w:rsid w:val="777D3853"/>
    <w:rsid w:val="77B2F932"/>
    <w:rsid w:val="77CA6461"/>
    <w:rsid w:val="77FA80F7"/>
    <w:rsid w:val="7807D038"/>
    <w:rsid w:val="786614D4"/>
    <w:rsid w:val="78C37671"/>
    <w:rsid w:val="78EBA95B"/>
    <w:rsid w:val="78ED79C8"/>
    <w:rsid w:val="79342B93"/>
    <w:rsid w:val="7A163AA1"/>
    <w:rsid w:val="7A190482"/>
    <w:rsid w:val="7A243B6B"/>
    <w:rsid w:val="7A64A6C3"/>
    <w:rsid w:val="7B43DD17"/>
    <w:rsid w:val="7B496C9F"/>
    <w:rsid w:val="7C1BCFB8"/>
    <w:rsid w:val="7C43A7E7"/>
    <w:rsid w:val="7C8FAE85"/>
    <w:rsid w:val="7CDE3732"/>
    <w:rsid w:val="7D1DFE38"/>
    <w:rsid w:val="7D6F96D6"/>
    <w:rsid w:val="7D799997"/>
    <w:rsid w:val="7D9AD0E3"/>
    <w:rsid w:val="7DBD00D6"/>
    <w:rsid w:val="7E76559F"/>
    <w:rsid w:val="7E766C25"/>
    <w:rsid w:val="7EAAD70C"/>
    <w:rsid w:val="7F195B5A"/>
    <w:rsid w:val="7F37B888"/>
    <w:rsid w:val="7FBB0CEB"/>
    <w:rsid w:val="7FC99714"/>
    <w:rsid w:val="7FFF020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v-text-anchor:middle" fillcolor="#0c9" stroke="f">
      <v:fill color="#0c9"/>
      <v:stroke on="f"/>
    </o:shapedefaults>
    <o:shapelayout v:ext="edit">
      <o:idmap v:ext="edit" data="2"/>
    </o:shapelayout>
  </w:shapeDefaults>
  <w:decimalSymbol w:val="."/>
  <w:listSeparator w:val=","/>
  <w14:docId w14:val="2C0023BD"/>
  <w15:docId w15:val="{5463F341-192F-4379-8014-8E5B547ED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5201"/>
    <w:pPr>
      <w:tabs>
        <w:tab w:val="right" w:pos="5897"/>
      </w:tabs>
      <w:spacing w:after="120" w:line="240" w:lineRule="atLeast"/>
    </w:pPr>
    <w:rPr>
      <w:rFonts w:ascii="Arial" w:hAnsi="Arial"/>
      <w:sz w:val="18"/>
    </w:rPr>
  </w:style>
  <w:style w:type="paragraph" w:styleId="Heading1">
    <w:name w:val="heading 1"/>
    <w:basedOn w:val="Normal"/>
    <w:next w:val="Heading2"/>
    <w:link w:val="Heading1Char"/>
    <w:qFormat/>
    <w:rsid w:val="00545E3C"/>
    <w:pPr>
      <w:numPr>
        <w:numId w:val="10"/>
      </w:numPr>
      <w:spacing w:before="320" w:after="320" w:line="320" w:lineRule="exact"/>
      <w:outlineLvl w:val="0"/>
    </w:pPr>
    <w:rPr>
      <w:rFonts w:asciiTheme="majorHAnsi" w:hAnsiTheme="majorHAnsi"/>
      <w:b/>
      <w:spacing w:val="-2"/>
      <w:kern w:val="28"/>
      <w:sz w:val="32"/>
      <w:szCs w:val="32"/>
    </w:rPr>
  </w:style>
  <w:style w:type="paragraph" w:styleId="Heading2">
    <w:name w:val="heading 2"/>
    <w:basedOn w:val="Heading1"/>
    <w:next w:val="Bullet"/>
    <w:link w:val="Heading2Char"/>
    <w:qFormat/>
    <w:rsid w:val="008F3AA1"/>
    <w:pPr>
      <w:numPr>
        <w:ilvl w:val="1"/>
      </w:numPr>
      <w:spacing w:before="240" w:after="0" w:line="360" w:lineRule="auto"/>
      <w:outlineLvl w:val="1"/>
    </w:pPr>
    <w:rPr>
      <w:rFonts w:ascii="Arial" w:hAnsi="Arial"/>
      <w:b w:val="0"/>
      <w:color w:val="1E35BF" w:themeColor="accent1"/>
      <w:sz w:val="22"/>
      <w:szCs w:val="22"/>
    </w:rPr>
  </w:style>
  <w:style w:type="paragraph" w:styleId="Heading3">
    <w:name w:val="heading 3"/>
    <w:basedOn w:val="Heading2"/>
    <w:next w:val="Normal"/>
    <w:link w:val="Heading3Char"/>
    <w:qFormat/>
    <w:rsid w:val="0051520D"/>
    <w:pPr>
      <w:numPr>
        <w:ilvl w:val="0"/>
        <w:numId w:val="0"/>
      </w:numPr>
      <w:tabs>
        <w:tab w:val="num" w:pos="0"/>
      </w:tabs>
      <w:ind w:hanging="85"/>
      <w:outlineLvl w:val="2"/>
    </w:pPr>
    <w:rPr>
      <w:color w:val="auto"/>
    </w:rPr>
  </w:style>
  <w:style w:type="paragraph" w:styleId="Heading4">
    <w:name w:val="heading 4"/>
    <w:basedOn w:val="Heading3"/>
    <w:next w:val="Normal"/>
    <w:qFormat/>
    <w:rsid w:val="0051520D"/>
    <w:pPr>
      <w:numPr>
        <w:ilvl w:val="3"/>
        <w:numId w:val="10"/>
      </w:numPr>
      <w:tabs>
        <w:tab w:val="clear" w:pos="0"/>
      </w:tabs>
      <w:spacing w:line="220" w:lineRule="exact"/>
      <w:outlineLvl w:val="3"/>
    </w:pPr>
    <w:rPr>
      <w:sz w:val="18"/>
    </w:rPr>
  </w:style>
  <w:style w:type="paragraph" w:styleId="Heading5">
    <w:name w:val="heading 5"/>
    <w:basedOn w:val="Normal"/>
    <w:next w:val="Normal"/>
    <w:qFormat/>
    <w:rsid w:val="0051520D"/>
    <w:pPr>
      <w:keepNext/>
      <w:autoSpaceDE w:val="0"/>
      <w:autoSpaceDN w:val="0"/>
      <w:adjustRightInd w:val="0"/>
      <w:jc w:val="center"/>
      <w:outlineLvl w:val="4"/>
    </w:pPr>
    <w:rPr>
      <w:rFonts w:cs="Arial"/>
      <w:b/>
      <w:bCs/>
      <w:szCs w:val="18"/>
    </w:rPr>
  </w:style>
  <w:style w:type="paragraph" w:styleId="Heading6">
    <w:name w:val="heading 6"/>
    <w:basedOn w:val="Normal"/>
    <w:next w:val="Normal"/>
    <w:qFormat/>
    <w:rsid w:val="0051520D"/>
    <w:pPr>
      <w:spacing w:before="240" w:after="60"/>
      <w:outlineLvl w:val="5"/>
    </w:pPr>
    <w:rPr>
      <w:rFonts w:ascii="Times New Roman" w:hAnsi="Times New Roman"/>
      <w:b/>
      <w:bCs/>
      <w:sz w:val="22"/>
      <w:szCs w:val="22"/>
    </w:rPr>
  </w:style>
  <w:style w:type="paragraph" w:styleId="Heading7">
    <w:name w:val="heading 7"/>
    <w:basedOn w:val="Normal"/>
    <w:next w:val="Normal"/>
    <w:qFormat/>
    <w:rsid w:val="0051520D"/>
    <w:pPr>
      <w:spacing w:before="240" w:after="60"/>
      <w:outlineLvl w:val="6"/>
    </w:pPr>
    <w:rPr>
      <w:rFonts w:ascii="Times New Roman" w:hAnsi="Times New Roman"/>
      <w:sz w:val="24"/>
      <w:szCs w:val="24"/>
    </w:rPr>
  </w:style>
  <w:style w:type="paragraph" w:styleId="Heading8">
    <w:name w:val="heading 8"/>
    <w:basedOn w:val="Normal"/>
    <w:next w:val="Normal"/>
    <w:qFormat/>
    <w:rsid w:val="0051520D"/>
    <w:pPr>
      <w:spacing w:before="240" w:after="60"/>
      <w:outlineLvl w:val="7"/>
    </w:pPr>
    <w:rPr>
      <w:rFonts w:ascii="Times New Roman" w:hAnsi="Times New Roman"/>
      <w:i/>
      <w:iCs/>
      <w:sz w:val="24"/>
      <w:szCs w:val="24"/>
    </w:rPr>
  </w:style>
  <w:style w:type="paragraph" w:styleId="Heading9">
    <w:name w:val="heading 9"/>
    <w:basedOn w:val="Normal"/>
    <w:next w:val="Normal"/>
    <w:qFormat/>
    <w:rsid w:val="0051520D"/>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Bullets">
    <w:name w:val="Sub-Bullets"/>
    <w:basedOn w:val="Normal"/>
    <w:rsid w:val="00E77013"/>
    <w:pPr>
      <w:numPr>
        <w:numId w:val="4"/>
      </w:numPr>
      <w:tabs>
        <w:tab w:val="clear" w:pos="357"/>
        <w:tab w:val="clear" w:pos="5897"/>
        <w:tab w:val="num" w:pos="360"/>
        <w:tab w:val="left" w:pos="714"/>
        <w:tab w:val="left" w:pos="1072"/>
        <w:tab w:val="left" w:pos="1429"/>
        <w:tab w:val="right" w:pos="9582"/>
      </w:tabs>
      <w:spacing w:after="0"/>
      <w:ind w:left="0" w:firstLine="0"/>
    </w:pPr>
  </w:style>
  <w:style w:type="table" w:styleId="TableGrid">
    <w:name w:val="Table Grid"/>
    <w:basedOn w:val="TableNormal"/>
    <w:rsid w:val="005C34F5"/>
    <w:pPr>
      <w:spacing w:line="220" w:lineRule="exact"/>
    </w:pPr>
    <w:rPr>
      <w:rFonts w:ascii="Arial" w:hAnsi="Arial"/>
      <w:sz w:val="18"/>
      <w:szCs w:val="18"/>
    </w:rPr>
    <w:tblPr/>
  </w:style>
  <w:style w:type="paragraph" w:customStyle="1" w:styleId="LetterList">
    <w:name w:val="Letter List"/>
    <w:basedOn w:val="Normal"/>
    <w:rsid w:val="004578B9"/>
    <w:pPr>
      <w:numPr>
        <w:numId w:val="3"/>
      </w:numPr>
      <w:spacing w:after="0"/>
    </w:pPr>
  </w:style>
  <w:style w:type="paragraph" w:customStyle="1" w:styleId="Bullets">
    <w:name w:val="Bullets"/>
    <w:basedOn w:val="Normal"/>
    <w:rsid w:val="004578B9"/>
    <w:pPr>
      <w:numPr>
        <w:numId w:val="2"/>
      </w:numPr>
      <w:spacing w:after="0"/>
    </w:pPr>
  </w:style>
  <w:style w:type="paragraph" w:customStyle="1" w:styleId="Callout">
    <w:name w:val="Callout"/>
    <w:basedOn w:val="Normal"/>
    <w:rsid w:val="00882C8B"/>
    <w:pPr>
      <w:spacing w:after="0" w:line="240" w:lineRule="exact"/>
    </w:pPr>
    <w:rPr>
      <w:rFonts w:asciiTheme="majorHAnsi" w:hAnsiTheme="majorHAnsi"/>
      <w:color w:val="1E35BF" w:themeColor="accent1"/>
      <w:spacing w:val="-2"/>
      <w:sz w:val="24"/>
      <w:szCs w:val="24"/>
    </w:rPr>
  </w:style>
  <w:style w:type="paragraph" w:styleId="Caption">
    <w:name w:val="caption"/>
    <w:basedOn w:val="Normal"/>
    <w:next w:val="Normal"/>
    <w:qFormat/>
    <w:pPr>
      <w:spacing w:before="120"/>
    </w:pPr>
    <w:rPr>
      <w:b/>
      <w:bCs/>
      <w:sz w:val="20"/>
    </w:rPr>
  </w:style>
  <w:style w:type="paragraph" w:styleId="CommentText">
    <w:name w:val="annotation text"/>
    <w:basedOn w:val="Normal"/>
    <w:link w:val="CommentTextChar"/>
    <w:uiPriority w:val="99"/>
    <w:rPr>
      <w:sz w:val="20"/>
    </w:rPr>
  </w:style>
  <w:style w:type="paragraph" w:styleId="DocumentMap">
    <w:name w:val="Document Map"/>
    <w:basedOn w:val="Normal"/>
    <w:semiHidden/>
    <w:pPr>
      <w:shd w:val="clear" w:color="auto" w:fill="000080"/>
    </w:pPr>
    <w:rPr>
      <w:rFonts w:ascii="Tahoma" w:hAnsi="Tahoma" w:cs="Tahoma"/>
    </w:rPr>
  </w:style>
  <w:style w:type="paragraph" w:styleId="EndnoteText">
    <w:name w:val="endnote text"/>
    <w:basedOn w:val="Normal"/>
    <w:semiHidden/>
    <w:rPr>
      <w:sz w:val="20"/>
    </w:rPr>
  </w:style>
  <w:style w:type="paragraph" w:styleId="FootnoteText">
    <w:name w:val="footnote text"/>
    <w:basedOn w:val="Normal"/>
    <w:link w:val="FootnoteTextChar"/>
    <w:uiPriority w:val="99"/>
    <w:semiHidden/>
    <w:rPr>
      <w:sz w:val="20"/>
    </w:rPr>
  </w:style>
  <w:style w:type="paragraph" w:styleId="Index1">
    <w:name w:val="index 1"/>
    <w:basedOn w:val="Normal"/>
    <w:next w:val="Normal"/>
    <w:autoRedefine/>
    <w:semiHidden/>
    <w:pPr>
      <w:ind w:left="180" w:hanging="180"/>
    </w:pPr>
  </w:style>
  <w:style w:type="paragraph" w:styleId="Index2">
    <w:name w:val="index 2"/>
    <w:basedOn w:val="Normal"/>
    <w:next w:val="Normal"/>
    <w:autoRedefine/>
    <w:semiHidden/>
    <w:pPr>
      <w:ind w:left="360" w:hanging="180"/>
    </w:pPr>
  </w:style>
  <w:style w:type="paragraph" w:styleId="Index3">
    <w:name w:val="index 3"/>
    <w:basedOn w:val="Normal"/>
    <w:next w:val="Normal"/>
    <w:autoRedefine/>
    <w:semiHidden/>
    <w:pPr>
      <w:ind w:left="540" w:hanging="180"/>
    </w:pPr>
  </w:style>
  <w:style w:type="paragraph" w:styleId="Index4">
    <w:name w:val="index 4"/>
    <w:basedOn w:val="Normal"/>
    <w:next w:val="Normal"/>
    <w:autoRedefine/>
    <w:semiHidden/>
    <w:pPr>
      <w:ind w:left="720" w:hanging="180"/>
    </w:pPr>
  </w:style>
  <w:style w:type="paragraph" w:styleId="Index5">
    <w:name w:val="index 5"/>
    <w:basedOn w:val="Normal"/>
    <w:next w:val="Normal"/>
    <w:autoRedefine/>
    <w:semiHidden/>
    <w:pPr>
      <w:ind w:left="900" w:hanging="180"/>
    </w:pPr>
  </w:style>
  <w:style w:type="paragraph" w:styleId="Index6">
    <w:name w:val="index 6"/>
    <w:basedOn w:val="Normal"/>
    <w:next w:val="Normal"/>
    <w:autoRedefine/>
    <w:semiHidden/>
    <w:pPr>
      <w:ind w:left="1080" w:hanging="180"/>
    </w:pPr>
  </w:style>
  <w:style w:type="paragraph" w:styleId="Index7">
    <w:name w:val="index 7"/>
    <w:basedOn w:val="Normal"/>
    <w:next w:val="Normal"/>
    <w:autoRedefine/>
    <w:semiHidden/>
    <w:pPr>
      <w:ind w:left="1260" w:hanging="180"/>
    </w:pPr>
  </w:style>
  <w:style w:type="paragraph" w:styleId="Index8">
    <w:name w:val="index 8"/>
    <w:basedOn w:val="Normal"/>
    <w:next w:val="Normal"/>
    <w:autoRedefine/>
    <w:semiHidden/>
    <w:pPr>
      <w:ind w:left="1440" w:hanging="180"/>
    </w:pPr>
  </w:style>
  <w:style w:type="paragraph" w:styleId="Index9">
    <w:name w:val="index 9"/>
    <w:basedOn w:val="Normal"/>
    <w:next w:val="Normal"/>
    <w:autoRedefine/>
    <w:semiHidden/>
    <w:pPr>
      <w:ind w:left="1620" w:hanging="180"/>
    </w:pPr>
  </w:style>
  <w:style w:type="paragraph" w:styleId="IndexHeading">
    <w:name w:val="index heading"/>
    <w:basedOn w:val="Normal"/>
    <w:next w:val="Index1"/>
    <w:semiHidden/>
    <w:rPr>
      <w:rFonts w:cs="Arial"/>
      <w:b/>
      <w:bC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cs="Courier New"/>
    </w:rPr>
  </w:style>
  <w:style w:type="paragraph" w:styleId="TableofAuthorities">
    <w:name w:val="table of authorities"/>
    <w:basedOn w:val="Normal"/>
    <w:next w:val="Normal"/>
    <w:semiHidden/>
    <w:pPr>
      <w:ind w:left="180" w:hanging="180"/>
    </w:pPr>
  </w:style>
  <w:style w:type="paragraph" w:styleId="TableofFigures">
    <w:name w:val="table of figures"/>
    <w:basedOn w:val="Normal"/>
    <w:next w:val="Normal"/>
    <w:semiHidden/>
    <w:pPr>
      <w:ind w:left="360" w:hanging="360"/>
    </w:pPr>
  </w:style>
  <w:style w:type="paragraph" w:styleId="TOAHeading">
    <w:name w:val="toa heading"/>
    <w:basedOn w:val="Normal"/>
    <w:next w:val="Normal"/>
    <w:semiHidden/>
    <w:pPr>
      <w:spacing w:before="120"/>
    </w:pPr>
    <w:rPr>
      <w:rFonts w:cs="Arial"/>
      <w:b/>
      <w:bCs/>
      <w:sz w:val="24"/>
      <w:szCs w:val="24"/>
    </w:rPr>
  </w:style>
  <w:style w:type="paragraph" w:styleId="TOC1">
    <w:name w:val="toc 1"/>
    <w:basedOn w:val="Normal"/>
    <w:next w:val="Normal"/>
    <w:uiPriority w:val="39"/>
    <w:qFormat/>
    <w:rsid w:val="00BF361A"/>
    <w:pPr>
      <w:tabs>
        <w:tab w:val="clear" w:pos="5897"/>
        <w:tab w:val="right" w:pos="9356"/>
      </w:tabs>
      <w:spacing w:before="240" w:after="0" w:line="240" w:lineRule="exact"/>
      <w:ind w:left="397" w:hanging="397"/>
    </w:pPr>
    <w:rPr>
      <w:b/>
      <w:noProof/>
      <w:szCs w:val="16"/>
    </w:rPr>
  </w:style>
  <w:style w:type="paragraph" w:styleId="TOC2">
    <w:name w:val="toc 2"/>
    <w:basedOn w:val="TOC1"/>
    <w:next w:val="Normal"/>
    <w:uiPriority w:val="39"/>
    <w:qFormat/>
    <w:rsid w:val="00BF361A"/>
    <w:pPr>
      <w:spacing w:before="0"/>
    </w:pPr>
    <w:rPr>
      <w:b w:val="0"/>
    </w:rPr>
  </w:style>
  <w:style w:type="paragraph" w:styleId="TOC3">
    <w:name w:val="toc 3"/>
    <w:basedOn w:val="TOC1"/>
    <w:next w:val="Normal"/>
    <w:uiPriority w:val="39"/>
    <w:qFormat/>
    <w:rsid w:val="00BF361A"/>
    <w:pPr>
      <w:tabs>
        <w:tab w:val="left" w:pos="709"/>
      </w:tabs>
      <w:spacing w:before="0"/>
      <w:ind w:left="907" w:hanging="510"/>
    </w:pPr>
    <w:rPr>
      <w:b w:val="0"/>
      <w:szCs w:val="24"/>
    </w:rPr>
  </w:style>
  <w:style w:type="paragraph" w:styleId="TOC4">
    <w:name w:val="toc 4"/>
    <w:basedOn w:val="TOC3"/>
    <w:next w:val="Normal"/>
    <w:rsid w:val="00BF361A"/>
    <w:pPr>
      <w:tabs>
        <w:tab w:val="left" w:pos="1641"/>
      </w:tabs>
      <w:ind w:left="1559" w:hanging="680"/>
    </w:pPr>
  </w:style>
  <w:style w:type="paragraph" w:styleId="TOC5">
    <w:name w:val="toc 5"/>
    <w:basedOn w:val="Normal"/>
    <w:next w:val="Normal"/>
    <w:autoRedefine/>
    <w:semiHidden/>
    <w:pPr>
      <w:ind w:left="720"/>
    </w:pPr>
  </w:style>
  <w:style w:type="paragraph" w:styleId="TOC6">
    <w:name w:val="toc 6"/>
    <w:basedOn w:val="Normal"/>
    <w:next w:val="Normal"/>
    <w:autoRedefine/>
    <w:semiHidden/>
    <w:pPr>
      <w:ind w:left="900"/>
    </w:pPr>
  </w:style>
  <w:style w:type="paragraph" w:styleId="TOC7">
    <w:name w:val="toc 7"/>
    <w:basedOn w:val="Normal"/>
    <w:next w:val="Normal"/>
    <w:autoRedefine/>
    <w:semiHidden/>
    <w:pPr>
      <w:ind w:left="1080"/>
    </w:pPr>
  </w:style>
  <w:style w:type="paragraph" w:styleId="TOC8">
    <w:name w:val="toc 8"/>
    <w:basedOn w:val="Normal"/>
    <w:next w:val="Normal"/>
    <w:autoRedefine/>
    <w:semiHidden/>
    <w:pPr>
      <w:ind w:left="1260"/>
    </w:pPr>
  </w:style>
  <w:style w:type="paragraph" w:styleId="TOC9">
    <w:name w:val="toc 9"/>
    <w:basedOn w:val="Normal"/>
    <w:next w:val="Normal"/>
    <w:autoRedefine/>
    <w:semiHidden/>
    <w:pPr>
      <w:ind w:left="1440"/>
    </w:pPr>
  </w:style>
  <w:style w:type="paragraph" w:customStyle="1" w:styleId="NumberList">
    <w:name w:val="Number List"/>
    <w:basedOn w:val="Normal"/>
    <w:rsid w:val="004578B9"/>
    <w:pPr>
      <w:numPr>
        <w:numId w:val="1"/>
      </w:numPr>
      <w:spacing w:after="0"/>
    </w:pPr>
  </w:style>
  <w:style w:type="paragraph" w:styleId="Footer">
    <w:name w:val="footer"/>
    <w:basedOn w:val="Normal"/>
    <w:link w:val="FooterChar"/>
    <w:uiPriority w:val="99"/>
    <w:rsid w:val="008C1955"/>
    <w:pPr>
      <w:tabs>
        <w:tab w:val="center" w:pos="4153"/>
        <w:tab w:val="right" w:pos="8306"/>
      </w:tabs>
    </w:pPr>
  </w:style>
  <w:style w:type="paragraph" w:styleId="Header">
    <w:name w:val="header"/>
    <w:basedOn w:val="Normal"/>
    <w:link w:val="HeaderChar"/>
    <w:uiPriority w:val="99"/>
    <w:rsid w:val="008C1955"/>
    <w:pPr>
      <w:tabs>
        <w:tab w:val="center" w:pos="4153"/>
        <w:tab w:val="right" w:pos="8306"/>
      </w:tabs>
    </w:pPr>
  </w:style>
  <w:style w:type="paragraph" w:customStyle="1" w:styleId="ReportTitle">
    <w:name w:val="Report Title"/>
    <w:basedOn w:val="Normal"/>
    <w:rsid w:val="00882C8B"/>
    <w:pPr>
      <w:spacing w:after="0" w:line="1360" w:lineRule="exact"/>
    </w:pPr>
    <w:rPr>
      <w:rFonts w:asciiTheme="majorHAnsi" w:hAnsiTheme="majorHAnsi"/>
      <w:color w:val="1E35BF" w:themeColor="accent1"/>
      <w:spacing w:val="-20"/>
      <w:sz w:val="144"/>
      <w:szCs w:val="144"/>
    </w:rPr>
  </w:style>
  <w:style w:type="paragraph" w:customStyle="1" w:styleId="ReportDescription">
    <w:name w:val="Report Description"/>
    <w:basedOn w:val="Normal"/>
    <w:rsid w:val="00882C8B"/>
    <w:pPr>
      <w:spacing w:after="0" w:line="280" w:lineRule="exact"/>
    </w:pPr>
    <w:rPr>
      <w:rFonts w:asciiTheme="majorHAnsi" w:hAnsiTheme="majorHAnsi"/>
      <w:sz w:val="28"/>
      <w:szCs w:val="28"/>
    </w:rPr>
  </w:style>
  <w:style w:type="paragraph" w:customStyle="1" w:styleId="Source">
    <w:name w:val="Source"/>
    <w:basedOn w:val="Normal"/>
    <w:rsid w:val="001B50E4"/>
    <w:pPr>
      <w:spacing w:before="115" w:line="180" w:lineRule="atLeast"/>
    </w:pPr>
    <w:rPr>
      <w:sz w:val="12"/>
      <w:szCs w:val="10"/>
    </w:rPr>
  </w:style>
  <w:style w:type="paragraph" w:customStyle="1" w:styleId="Tableheading">
    <w:name w:val="Table heading"/>
    <w:basedOn w:val="Normal"/>
    <w:rsid w:val="00D301ED"/>
    <w:pPr>
      <w:pBdr>
        <w:bottom w:val="single" w:sz="12" w:space="3" w:color="auto"/>
      </w:pBdr>
      <w:tabs>
        <w:tab w:val="clear" w:pos="5897"/>
        <w:tab w:val="right" w:pos="9356"/>
      </w:tabs>
    </w:pPr>
    <w:rPr>
      <w:b/>
    </w:rPr>
  </w:style>
  <w:style w:type="paragraph" w:customStyle="1" w:styleId="Grid">
    <w:name w:val="Grid"/>
    <w:basedOn w:val="Normal"/>
    <w:rsid w:val="00EA5ED7"/>
    <w:pPr>
      <w:spacing w:after="0" w:line="180" w:lineRule="exact"/>
    </w:pPr>
    <w:rPr>
      <w:szCs w:val="16"/>
    </w:rPr>
  </w:style>
  <w:style w:type="paragraph" w:customStyle="1" w:styleId="Tabletext">
    <w:name w:val="Table text"/>
    <w:basedOn w:val="Normal"/>
    <w:rsid w:val="00D843C3"/>
    <w:pPr>
      <w:spacing w:before="40" w:after="40" w:line="240" w:lineRule="auto"/>
    </w:pPr>
    <w:rPr>
      <w:szCs w:val="16"/>
    </w:rPr>
  </w:style>
  <w:style w:type="paragraph" w:customStyle="1" w:styleId="Tableheaders">
    <w:name w:val="Table headers"/>
    <w:basedOn w:val="Normal"/>
    <w:rsid w:val="003B07D7"/>
    <w:pPr>
      <w:spacing w:after="0" w:line="150" w:lineRule="exact"/>
    </w:pPr>
    <w:rPr>
      <w:sz w:val="12"/>
      <w:szCs w:val="12"/>
    </w:rPr>
  </w:style>
  <w:style w:type="character" w:styleId="PageNumber">
    <w:name w:val="page number"/>
    <w:basedOn w:val="DefaultParagraphFont"/>
    <w:semiHidden/>
    <w:rsid w:val="005A6D0B"/>
  </w:style>
  <w:style w:type="character" w:styleId="Hyperlink">
    <w:name w:val="Hyperlink"/>
    <w:basedOn w:val="DefaultParagraphFont"/>
    <w:uiPriority w:val="99"/>
    <w:rsid w:val="00C927F1"/>
    <w:rPr>
      <w:color w:val="0000FF"/>
      <w:u w:val="single"/>
    </w:rPr>
  </w:style>
  <w:style w:type="paragraph" w:styleId="BalloonText">
    <w:name w:val="Balloon Text"/>
    <w:basedOn w:val="Normal"/>
    <w:link w:val="BalloonTextChar"/>
    <w:rsid w:val="00C263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2633C"/>
    <w:rPr>
      <w:rFonts w:ascii="Tahoma" w:hAnsi="Tahoma" w:cs="Tahoma"/>
      <w:sz w:val="16"/>
      <w:szCs w:val="16"/>
    </w:rPr>
  </w:style>
  <w:style w:type="paragraph" w:styleId="TOCHeading">
    <w:name w:val="TOC Heading"/>
    <w:basedOn w:val="Heading1"/>
    <w:next w:val="Normal"/>
    <w:uiPriority w:val="39"/>
    <w:semiHidden/>
    <w:unhideWhenUsed/>
    <w:qFormat/>
    <w:rsid w:val="00E05690"/>
    <w:pPr>
      <w:keepNext/>
      <w:keepLines/>
      <w:numPr>
        <w:numId w:val="0"/>
      </w:numPr>
      <w:tabs>
        <w:tab w:val="clear" w:pos="5897"/>
      </w:tabs>
      <w:spacing w:before="480" w:after="0" w:line="276" w:lineRule="auto"/>
      <w:outlineLvl w:val="9"/>
    </w:pPr>
    <w:rPr>
      <w:rFonts w:eastAsiaTheme="majorEastAsia" w:cstheme="majorBidi"/>
      <w:b w:val="0"/>
      <w:bCs/>
      <w:color w:val="16278E" w:themeColor="accent1" w:themeShade="BF"/>
      <w:spacing w:val="0"/>
      <w:kern w:val="0"/>
      <w:sz w:val="28"/>
      <w:szCs w:val="28"/>
      <w:lang w:val="en-US" w:eastAsia="ja-JP"/>
    </w:rPr>
  </w:style>
  <w:style w:type="paragraph" w:styleId="ListBullet">
    <w:name w:val="List Bullet"/>
    <w:basedOn w:val="Normal"/>
    <w:rsid w:val="00FF2BA1"/>
    <w:pPr>
      <w:contextualSpacing/>
    </w:pPr>
  </w:style>
  <w:style w:type="paragraph" w:styleId="ListParagraph">
    <w:name w:val="List Paragraph"/>
    <w:basedOn w:val="Normal"/>
    <w:uiPriority w:val="1"/>
    <w:qFormat/>
    <w:rsid w:val="008011DB"/>
    <w:pPr>
      <w:tabs>
        <w:tab w:val="clear" w:pos="5897"/>
      </w:tabs>
      <w:spacing w:after="0" w:line="240" w:lineRule="auto"/>
      <w:ind w:left="720"/>
      <w:contextualSpacing/>
    </w:pPr>
    <w:rPr>
      <w:rFonts w:ascii="Times New Roman" w:hAnsi="Times New Roman"/>
      <w:sz w:val="24"/>
    </w:rPr>
  </w:style>
  <w:style w:type="character" w:styleId="CommentReference">
    <w:name w:val="annotation reference"/>
    <w:basedOn w:val="DefaultParagraphFont"/>
    <w:uiPriority w:val="99"/>
    <w:rsid w:val="001B60C8"/>
    <w:rPr>
      <w:sz w:val="16"/>
      <w:szCs w:val="16"/>
    </w:rPr>
  </w:style>
  <w:style w:type="paragraph" w:styleId="CommentSubject">
    <w:name w:val="annotation subject"/>
    <w:basedOn w:val="CommentText"/>
    <w:next w:val="CommentText"/>
    <w:link w:val="CommentSubjectChar"/>
    <w:rsid w:val="001B60C8"/>
    <w:pPr>
      <w:spacing w:line="240" w:lineRule="auto"/>
    </w:pPr>
    <w:rPr>
      <w:b/>
      <w:bCs/>
    </w:rPr>
  </w:style>
  <w:style w:type="character" w:customStyle="1" w:styleId="CommentTextChar">
    <w:name w:val="Comment Text Char"/>
    <w:basedOn w:val="DefaultParagraphFont"/>
    <w:link w:val="CommentText"/>
    <w:uiPriority w:val="99"/>
    <w:rsid w:val="001B60C8"/>
    <w:rPr>
      <w:rFonts w:ascii="Arial" w:hAnsi="Arial"/>
    </w:rPr>
  </w:style>
  <w:style w:type="character" w:customStyle="1" w:styleId="CommentSubjectChar">
    <w:name w:val="Comment Subject Char"/>
    <w:basedOn w:val="CommentTextChar"/>
    <w:link w:val="CommentSubject"/>
    <w:rsid w:val="001B60C8"/>
    <w:rPr>
      <w:rFonts w:ascii="Arial" w:hAnsi="Arial"/>
      <w:b/>
      <w:bCs/>
    </w:rPr>
  </w:style>
  <w:style w:type="character" w:styleId="EndnoteReference">
    <w:name w:val="endnote reference"/>
    <w:basedOn w:val="DefaultParagraphFont"/>
    <w:rsid w:val="00FC4BA5"/>
    <w:rPr>
      <w:vertAlign w:val="superscript"/>
    </w:rPr>
  </w:style>
  <w:style w:type="character" w:styleId="FootnoteReference">
    <w:name w:val="footnote reference"/>
    <w:basedOn w:val="DefaultParagraphFont"/>
    <w:uiPriority w:val="99"/>
    <w:rsid w:val="001E2ACA"/>
    <w:rPr>
      <w:vertAlign w:val="superscript"/>
    </w:rPr>
  </w:style>
  <w:style w:type="character" w:customStyle="1" w:styleId="FooterChar">
    <w:name w:val="Footer Char"/>
    <w:basedOn w:val="DefaultParagraphFont"/>
    <w:link w:val="Footer"/>
    <w:uiPriority w:val="99"/>
    <w:rsid w:val="00D422FC"/>
    <w:rPr>
      <w:rFonts w:ascii="Arial" w:hAnsi="Arial"/>
      <w:sz w:val="18"/>
    </w:rPr>
  </w:style>
  <w:style w:type="character" w:customStyle="1" w:styleId="HeaderChar">
    <w:name w:val="Header Char"/>
    <w:basedOn w:val="DefaultParagraphFont"/>
    <w:link w:val="Header"/>
    <w:uiPriority w:val="99"/>
    <w:rsid w:val="008D4DF1"/>
    <w:rPr>
      <w:rFonts w:ascii="Arial" w:hAnsi="Arial"/>
      <w:sz w:val="18"/>
    </w:rPr>
  </w:style>
  <w:style w:type="paragraph" w:styleId="Revision">
    <w:name w:val="Revision"/>
    <w:hidden/>
    <w:uiPriority w:val="99"/>
    <w:semiHidden/>
    <w:rsid w:val="00BE5FE5"/>
    <w:rPr>
      <w:rFonts w:ascii="Arial" w:hAnsi="Arial"/>
      <w:sz w:val="18"/>
    </w:rPr>
  </w:style>
  <w:style w:type="paragraph" w:customStyle="1" w:styleId="TableText0">
    <w:name w:val="Table Text"/>
    <w:uiPriority w:val="19"/>
    <w:qFormat/>
    <w:rsid w:val="00BB0232"/>
    <w:pPr>
      <w:keepNext/>
      <w:spacing w:after="60"/>
    </w:pPr>
    <w:rPr>
      <w:rFonts w:ascii="Arial" w:hAnsi="Arial"/>
      <w:lang w:eastAsia="en-US"/>
    </w:rPr>
  </w:style>
  <w:style w:type="paragraph" w:customStyle="1" w:styleId="TableColumnHeading">
    <w:name w:val="Table Column Heading"/>
    <w:basedOn w:val="TableText0"/>
    <w:next w:val="TableText0"/>
    <w:uiPriority w:val="20"/>
    <w:qFormat/>
    <w:rsid w:val="00EA05BA"/>
    <w:pPr>
      <w:spacing w:before="60" w:line="252" w:lineRule="auto"/>
    </w:pPr>
    <w:rPr>
      <w:b/>
      <w:spacing w:val="4"/>
      <w:sz w:val="18"/>
      <w:szCs w:val="18"/>
    </w:rPr>
  </w:style>
  <w:style w:type="character" w:styleId="UnresolvedMention">
    <w:name w:val="Unresolved Mention"/>
    <w:basedOn w:val="DefaultParagraphFont"/>
    <w:uiPriority w:val="99"/>
    <w:semiHidden/>
    <w:unhideWhenUsed/>
    <w:rsid w:val="00632BF5"/>
    <w:rPr>
      <w:color w:val="808080"/>
      <w:shd w:val="clear" w:color="auto" w:fill="E6E6E6"/>
    </w:rPr>
  </w:style>
  <w:style w:type="character" w:styleId="FollowedHyperlink">
    <w:name w:val="FollowedHyperlink"/>
    <w:basedOn w:val="DefaultParagraphFont"/>
    <w:semiHidden/>
    <w:unhideWhenUsed/>
    <w:rsid w:val="00B0794D"/>
    <w:rPr>
      <w:color w:val="78E0C2" w:themeColor="followedHyperlink"/>
      <w:u w:val="single"/>
    </w:rPr>
  </w:style>
  <w:style w:type="character" w:styleId="PlaceholderText">
    <w:name w:val="Placeholder Text"/>
    <w:basedOn w:val="DefaultParagraphFont"/>
    <w:uiPriority w:val="99"/>
    <w:semiHidden/>
    <w:rsid w:val="00CE674E"/>
    <w:rPr>
      <w:color w:val="808080"/>
    </w:rPr>
  </w:style>
  <w:style w:type="character" w:customStyle="1" w:styleId="MainBodyExport">
    <w:name w:val="Main Body Export"/>
    <w:basedOn w:val="DefaultParagraphFont"/>
    <w:uiPriority w:val="1"/>
    <w:rsid w:val="00CE674E"/>
    <w:rPr>
      <w:rFonts w:ascii="Arial" w:hAnsi="Arial"/>
      <w:color w:val="000000" w:themeColor="text1"/>
      <w:sz w:val="20"/>
    </w:rPr>
  </w:style>
  <w:style w:type="table" w:styleId="TableGridLight">
    <w:name w:val="Grid Table Light"/>
    <w:basedOn w:val="TableNormal"/>
    <w:uiPriority w:val="40"/>
    <w:rsid w:val="00AD5201"/>
    <w:tblPr/>
  </w:style>
  <w:style w:type="character" w:customStyle="1" w:styleId="Heading1Char">
    <w:name w:val="Heading 1 Char"/>
    <w:basedOn w:val="DefaultParagraphFont"/>
    <w:link w:val="Heading1"/>
    <w:rsid w:val="00545E3C"/>
    <w:rPr>
      <w:rFonts w:asciiTheme="majorHAnsi" w:hAnsiTheme="majorHAnsi"/>
      <w:b/>
      <w:spacing w:val="-2"/>
      <w:kern w:val="28"/>
      <w:sz w:val="32"/>
      <w:szCs w:val="32"/>
    </w:rPr>
  </w:style>
  <w:style w:type="character" w:customStyle="1" w:styleId="Heading2Char">
    <w:name w:val="Heading 2 Char"/>
    <w:basedOn w:val="DefaultParagraphFont"/>
    <w:link w:val="Heading2"/>
    <w:rsid w:val="008F3AA1"/>
    <w:rPr>
      <w:rFonts w:ascii="Arial" w:hAnsi="Arial"/>
      <w:color w:val="1E35BF" w:themeColor="accent1"/>
      <w:spacing w:val="-2"/>
      <w:kern w:val="28"/>
      <w:sz w:val="22"/>
      <w:szCs w:val="22"/>
    </w:rPr>
  </w:style>
  <w:style w:type="paragraph" w:customStyle="1" w:styleId="Bullet">
    <w:name w:val="Bullet"/>
    <w:basedOn w:val="NormalIndent"/>
    <w:link w:val="BulletChar"/>
    <w:autoRedefine/>
    <w:qFormat/>
    <w:rsid w:val="00A10322"/>
    <w:pPr>
      <w:numPr>
        <w:ilvl w:val="2"/>
        <w:numId w:val="50"/>
      </w:numPr>
      <w:tabs>
        <w:tab w:val="clear" w:pos="5897"/>
      </w:tabs>
      <w:spacing w:line="240" w:lineRule="auto"/>
    </w:pPr>
    <w:rPr>
      <w:rFonts w:cs="Arial"/>
      <w:bCs/>
      <w:sz w:val="22"/>
      <w:szCs w:val="22"/>
    </w:rPr>
  </w:style>
  <w:style w:type="character" w:customStyle="1" w:styleId="Heading3Char">
    <w:name w:val="Heading 3 Char"/>
    <w:basedOn w:val="Heading2Char"/>
    <w:link w:val="Heading3"/>
    <w:rsid w:val="00E822C9"/>
    <w:rPr>
      <w:rFonts w:ascii="Arial" w:hAnsi="Arial"/>
      <w:color w:val="1E35BF" w:themeColor="accent1"/>
      <w:spacing w:val="-2"/>
      <w:kern w:val="28"/>
      <w:sz w:val="22"/>
      <w:szCs w:val="22"/>
    </w:rPr>
  </w:style>
  <w:style w:type="character" w:customStyle="1" w:styleId="BulletChar">
    <w:name w:val="Bullet Char"/>
    <w:basedOn w:val="Heading3Char"/>
    <w:link w:val="Bullet"/>
    <w:rsid w:val="00A10322"/>
    <w:rPr>
      <w:rFonts w:ascii="Arial" w:hAnsi="Arial" w:cs="Arial"/>
      <w:bCs/>
      <w:color w:val="1E35BF" w:themeColor="accent1"/>
      <w:spacing w:val="-2"/>
      <w:kern w:val="28"/>
      <w:sz w:val="22"/>
      <w:szCs w:val="22"/>
    </w:rPr>
  </w:style>
  <w:style w:type="paragraph" w:styleId="NormalIndent">
    <w:name w:val="Normal Indent"/>
    <w:basedOn w:val="Normal"/>
    <w:semiHidden/>
    <w:unhideWhenUsed/>
    <w:rsid w:val="00E822C9"/>
    <w:pPr>
      <w:ind w:left="720"/>
    </w:pPr>
  </w:style>
  <w:style w:type="character" w:styleId="Mention">
    <w:name w:val="Mention"/>
    <w:basedOn w:val="DefaultParagraphFont"/>
    <w:uiPriority w:val="99"/>
    <w:unhideWhenUsed/>
    <w:rsid w:val="00934122"/>
    <w:rPr>
      <w:color w:val="2B579A"/>
      <w:shd w:val="clear" w:color="auto" w:fill="E6E6E6"/>
    </w:rPr>
  </w:style>
  <w:style w:type="character" w:customStyle="1" w:styleId="FootnoteTextChar">
    <w:name w:val="Footnote Text Char"/>
    <w:basedOn w:val="DefaultParagraphFont"/>
    <w:link w:val="FootnoteText"/>
    <w:uiPriority w:val="99"/>
    <w:semiHidden/>
    <w:rsid w:val="00AD2125"/>
    <w:rPr>
      <w:rFonts w:ascii="Arial" w:hAnsi="Arial"/>
    </w:rPr>
  </w:style>
  <w:style w:type="table" w:styleId="GridTable1Light">
    <w:name w:val="Grid Table 1 Light"/>
    <w:basedOn w:val="TableNormal"/>
    <w:uiPriority w:val="46"/>
    <w:rsid w:val="00D079D8"/>
    <w:tblPr/>
    <w:tblStylePr w:type="firstRow">
      <w:rPr>
        <w:b/>
        <w:bCs/>
      </w:rPr>
    </w:tblStylePr>
    <w:tblStylePr w:type="lastRow">
      <w:rPr>
        <w:b/>
        <w:bCs/>
      </w:rPr>
    </w:tblStylePr>
    <w:tblStylePr w:type="firstCol">
      <w:rPr>
        <w:b/>
        <w:bCs/>
      </w:rPr>
    </w:tblStylePr>
    <w:tblStylePr w:type="lastCol">
      <w:rPr>
        <w:b/>
        <w:bCs/>
      </w:rPr>
    </w:tblStylePr>
  </w:style>
  <w:style w:type="table" w:styleId="PlainTable2">
    <w:name w:val="Plain Table 2"/>
    <w:basedOn w:val="TableNormal"/>
    <w:uiPriority w:val="42"/>
    <w:rsid w:val="00600CC7"/>
    <w:tblPr/>
    <w:tblStylePr w:type="firstRow">
      <w:rPr>
        <w:b/>
        <w:bCs/>
      </w:rPr>
    </w:tblStylePr>
    <w:tblStylePr w:type="lastRow">
      <w:rPr>
        <w:b/>
        <w:bCs/>
      </w:rPr>
    </w:tblStylePr>
    <w:tblStylePr w:type="firstCol">
      <w:rPr>
        <w:b/>
        <w:bCs/>
      </w:rPr>
    </w:tblStylePr>
    <w:tblStylePr w:type="lastCol">
      <w:rPr>
        <w:b/>
        <w:bCs/>
      </w:rPr>
    </w:tblStylePr>
  </w:style>
  <w:style w:type="table" w:styleId="PlainTable1">
    <w:name w:val="Plain Table 1"/>
    <w:basedOn w:val="TableNormal"/>
    <w:uiPriority w:val="41"/>
    <w:rsid w:val="00057886"/>
    <w:tblPr/>
    <w:tblStylePr w:type="firstRow">
      <w:rPr>
        <w:b/>
        <w:bCs/>
      </w:rPr>
    </w:tblStylePr>
    <w:tblStylePr w:type="lastRow">
      <w:rPr>
        <w:b/>
        <w:bCs/>
      </w:rPr>
    </w:tblStylePr>
    <w:tblStylePr w:type="firstCol">
      <w:rPr>
        <w:b/>
        <w:bCs/>
      </w:rPr>
    </w:tblStylePr>
    <w:tblStylePr w:type="lastCol">
      <w:rPr>
        <w:b/>
        <w:bCs/>
      </w:rPr>
    </w:tblStylePr>
  </w:style>
  <w:style w:type="paragraph" w:customStyle="1" w:styleId="Normal10pts">
    <w:name w:val="Normal + 10pts"/>
    <w:basedOn w:val="Normal"/>
    <w:rsid w:val="00446084"/>
    <w:pPr>
      <w:tabs>
        <w:tab w:val="clear" w:pos="5897"/>
      </w:tabs>
      <w:spacing w:after="0" w:line="240" w:lineRule="auto"/>
    </w:pPr>
    <w:rPr>
      <w:rFonts w:cs="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61757">
      <w:bodyDiv w:val="1"/>
      <w:marLeft w:val="0"/>
      <w:marRight w:val="0"/>
      <w:marTop w:val="0"/>
      <w:marBottom w:val="0"/>
      <w:divBdr>
        <w:top w:val="none" w:sz="0" w:space="0" w:color="auto"/>
        <w:left w:val="none" w:sz="0" w:space="0" w:color="auto"/>
        <w:bottom w:val="none" w:sz="0" w:space="0" w:color="auto"/>
        <w:right w:val="none" w:sz="0" w:space="0" w:color="auto"/>
      </w:divBdr>
    </w:div>
    <w:div w:id="206064776">
      <w:bodyDiv w:val="1"/>
      <w:marLeft w:val="0"/>
      <w:marRight w:val="0"/>
      <w:marTop w:val="0"/>
      <w:marBottom w:val="0"/>
      <w:divBdr>
        <w:top w:val="none" w:sz="0" w:space="0" w:color="auto"/>
        <w:left w:val="none" w:sz="0" w:space="0" w:color="auto"/>
        <w:bottom w:val="none" w:sz="0" w:space="0" w:color="auto"/>
        <w:right w:val="none" w:sz="0" w:space="0" w:color="auto"/>
      </w:divBdr>
    </w:div>
    <w:div w:id="235015603">
      <w:bodyDiv w:val="1"/>
      <w:marLeft w:val="0"/>
      <w:marRight w:val="0"/>
      <w:marTop w:val="0"/>
      <w:marBottom w:val="0"/>
      <w:divBdr>
        <w:top w:val="none" w:sz="0" w:space="0" w:color="auto"/>
        <w:left w:val="none" w:sz="0" w:space="0" w:color="auto"/>
        <w:bottom w:val="none" w:sz="0" w:space="0" w:color="auto"/>
        <w:right w:val="none" w:sz="0" w:space="0" w:color="auto"/>
      </w:divBdr>
    </w:div>
    <w:div w:id="618217502">
      <w:bodyDiv w:val="1"/>
      <w:marLeft w:val="0"/>
      <w:marRight w:val="0"/>
      <w:marTop w:val="0"/>
      <w:marBottom w:val="0"/>
      <w:divBdr>
        <w:top w:val="none" w:sz="0" w:space="0" w:color="auto"/>
        <w:left w:val="none" w:sz="0" w:space="0" w:color="auto"/>
        <w:bottom w:val="none" w:sz="0" w:space="0" w:color="auto"/>
        <w:right w:val="none" w:sz="0" w:space="0" w:color="auto"/>
      </w:divBdr>
    </w:div>
    <w:div w:id="727263211">
      <w:bodyDiv w:val="1"/>
      <w:marLeft w:val="0"/>
      <w:marRight w:val="0"/>
      <w:marTop w:val="0"/>
      <w:marBottom w:val="0"/>
      <w:divBdr>
        <w:top w:val="none" w:sz="0" w:space="0" w:color="auto"/>
        <w:left w:val="none" w:sz="0" w:space="0" w:color="auto"/>
        <w:bottom w:val="none" w:sz="0" w:space="0" w:color="auto"/>
        <w:right w:val="none" w:sz="0" w:space="0" w:color="auto"/>
      </w:divBdr>
    </w:div>
    <w:div w:id="849753259">
      <w:bodyDiv w:val="1"/>
      <w:marLeft w:val="0"/>
      <w:marRight w:val="0"/>
      <w:marTop w:val="0"/>
      <w:marBottom w:val="0"/>
      <w:divBdr>
        <w:top w:val="none" w:sz="0" w:space="0" w:color="auto"/>
        <w:left w:val="none" w:sz="0" w:space="0" w:color="auto"/>
        <w:bottom w:val="none" w:sz="0" w:space="0" w:color="auto"/>
        <w:right w:val="none" w:sz="0" w:space="0" w:color="auto"/>
      </w:divBdr>
    </w:div>
    <w:div w:id="885683244">
      <w:bodyDiv w:val="1"/>
      <w:marLeft w:val="0"/>
      <w:marRight w:val="0"/>
      <w:marTop w:val="0"/>
      <w:marBottom w:val="0"/>
      <w:divBdr>
        <w:top w:val="none" w:sz="0" w:space="0" w:color="auto"/>
        <w:left w:val="none" w:sz="0" w:space="0" w:color="auto"/>
        <w:bottom w:val="none" w:sz="0" w:space="0" w:color="auto"/>
        <w:right w:val="none" w:sz="0" w:space="0" w:color="auto"/>
      </w:divBdr>
      <w:divsChild>
        <w:div w:id="250353064">
          <w:marLeft w:val="0"/>
          <w:marRight w:val="0"/>
          <w:marTop w:val="0"/>
          <w:marBottom w:val="0"/>
          <w:divBdr>
            <w:top w:val="none" w:sz="0" w:space="0" w:color="auto"/>
            <w:left w:val="none" w:sz="0" w:space="0" w:color="auto"/>
            <w:bottom w:val="none" w:sz="0" w:space="0" w:color="auto"/>
            <w:right w:val="none" w:sz="0" w:space="0" w:color="auto"/>
          </w:divBdr>
        </w:div>
        <w:div w:id="1295451511">
          <w:marLeft w:val="0"/>
          <w:marRight w:val="0"/>
          <w:marTop w:val="0"/>
          <w:marBottom w:val="0"/>
          <w:divBdr>
            <w:top w:val="none" w:sz="0" w:space="0" w:color="auto"/>
            <w:left w:val="none" w:sz="0" w:space="0" w:color="auto"/>
            <w:bottom w:val="none" w:sz="0" w:space="0" w:color="auto"/>
            <w:right w:val="none" w:sz="0" w:space="0" w:color="auto"/>
          </w:divBdr>
        </w:div>
        <w:div w:id="1336880034">
          <w:marLeft w:val="0"/>
          <w:marRight w:val="0"/>
          <w:marTop w:val="0"/>
          <w:marBottom w:val="0"/>
          <w:divBdr>
            <w:top w:val="none" w:sz="0" w:space="0" w:color="auto"/>
            <w:left w:val="none" w:sz="0" w:space="0" w:color="auto"/>
            <w:bottom w:val="none" w:sz="0" w:space="0" w:color="auto"/>
            <w:right w:val="none" w:sz="0" w:space="0" w:color="auto"/>
          </w:divBdr>
        </w:div>
      </w:divsChild>
    </w:div>
    <w:div w:id="987320252">
      <w:bodyDiv w:val="1"/>
      <w:marLeft w:val="0"/>
      <w:marRight w:val="0"/>
      <w:marTop w:val="0"/>
      <w:marBottom w:val="0"/>
      <w:divBdr>
        <w:top w:val="none" w:sz="0" w:space="0" w:color="auto"/>
        <w:left w:val="none" w:sz="0" w:space="0" w:color="auto"/>
        <w:bottom w:val="none" w:sz="0" w:space="0" w:color="auto"/>
        <w:right w:val="none" w:sz="0" w:space="0" w:color="auto"/>
      </w:divBdr>
    </w:div>
    <w:div w:id="1005746198">
      <w:bodyDiv w:val="1"/>
      <w:marLeft w:val="0"/>
      <w:marRight w:val="0"/>
      <w:marTop w:val="0"/>
      <w:marBottom w:val="0"/>
      <w:divBdr>
        <w:top w:val="none" w:sz="0" w:space="0" w:color="auto"/>
        <w:left w:val="none" w:sz="0" w:space="0" w:color="auto"/>
        <w:bottom w:val="none" w:sz="0" w:space="0" w:color="auto"/>
        <w:right w:val="none" w:sz="0" w:space="0" w:color="auto"/>
      </w:divBdr>
    </w:div>
    <w:div w:id="1098214725">
      <w:bodyDiv w:val="1"/>
      <w:marLeft w:val="0"/>
      <w:marRight w:val="0"/>
      <w:marTop w:val="0"/>
      <w:marBottom w:val="0"/>
      <w:divBdr>
        <w:top w:val="none" w:sz="0" w:space="0" w:color="auto"/>
        <w:left w:val="none" w:sz="0" w:space="0" w:color="auto"/>
        <w:bottom w:val="none" w:sz="0" w:space="0" w:color="auto"/>
        <w:right w:val="none" w:sz="0" w:space="0" w:color="auto"/>
      </w:divBdr>
    </w:div>
    <w:div w:id="1192260090">
      <w:bodyDiv w:val="1"/>
      <w:marLeft w:val="0"/>
      <w:marRight w:val="0"/>
      <w:marTop w:val="0"/>
      <w:marBottom w:val="0"/>
      <w:divBdr>
        <w:top w:val="none" w:sz="0" w:space="0" w:color="auto"/>
        <w:left w:val="none" w:sz="0" w:space="0" w:color="auto"/>
        <w:bottom w:val="none" w:sz="0" w:space="0" w:color="auto"/>
        <w:right w:val="none" w:sz="0" w:space="0" w:color="auto"/>
      </w:divBdr>
    </w:div>
    <w:div w:id="1207983929">
      <w:bodyDiv w:val="1"/>
      <w:marLeft w:val="0"/>
      <w:marRight w:val="0"/>
      <w:marTop w:val="0"/>
      <w:marBottom w:val="0"/>
      <w:divBdr>
        <w:top w:val="none" w:sz="0" w:space="0" w:color="auto"/>
        <w:left w:val="none" w:sz="0" w:space="0" w:color="auto"/>
        <w:bottom w:val="none" w:sz="0" w:space="0" w:color="auto"/>
        <w:right w:val="none" w:sz="0" w:space="0" w:color="auto"/>
      </w:divBdr>
    </w:div>
    <w:div w:id="1289434792">
      <w:bodyDiv w:val="1"/>
      <w:marLeft w:val="0"/>
      <w:marRight w:val="0"/>
      <w:marTop w:val="0"/>
      <w:marBottom w:val="0"/>
      <w:divBdr>
        <w:top w:val="none" w:sz="0" w:space="0" w:color="auto"/>
        <w:left w:val="none" w:sz="0" w:space="0" w:color="auto"/>
        <w:bottom w:val="none" w:sz="0" w:space="0" w:color="auto"/>
        <w:right w:val="none" w:sz="0" w:space="0" w:color="auto"/>
      </w:divBdr>
    </w:div>
    <w:div w:id="1377317600">
      <w:bodyDiv w:val="1"/>
      <w:marLeft w:val="0"/>
      <w:marRight w:val="0"/>
      <w:marTop w:val="0"/>
      <w:marBottom w:val="0"/>
      <w:divBdr>
        <w:top w:val="none" w:sz="0" w:space="0" w:color="auto"/>
        <w:left w:val="none" w:sz="0" w:space="0" w:color="auto"/>
        <w:bottom w:val="none" w:sz="0" w:space="0" w:color="auto"/>
        <w:right w:val="none" w:sz="0" w:space="0" w:color="auto"/>
      </w:divBdr>
    </w:div>
    <w:div w:id="1395738482">
      <w:bodyDiv w:val="1"/>
      <w:marLeft w:val="0"/>
      <w:marRight w:val="0"/>
      <w:marTop w:val="0"/>
      <w:marBottom w:val="0"/>
      <w:divBdr>
        <w:top w:val="none" w:sz="0" w:space="0" w:color="auto"/>
        <w:left w:val="none" w:sz="0" w:space="0" w:color="auto"/>
        <w:bottom w:val="none" w:sz="0" w:space="0" w:color="auto"/>
        <w:right w:val="none" w:sz="0" w:space="0" w:color="auto"/>
      </w:divBdr>
    </w:div>
    <w:div w:id="1571691160">
      <w:bodyDiv w:val="1"/>
      <w:marLeft w:val="0"/>
      <w:marRight w:val="0"/>
      <w:marTop w:val="0"/>
      <w:marBottom w:val="0"/>
      <w:divBdr>
        <w:top w:val="none" w:sz="0" w:space="0" w:color="auto"/>
        <w:left w:val="none" w:sz="0" w:space="0" w:color="auto"/>
        <w:bottom w:val="none" w:sz="0" w:space="0" w:color="auto"/>
        <w:right w:val="none" w:sz="0" w:space="0" w:color="auto"/>
      </w:divBdr>
    </w:div>
    <w:div w:id="1606227189">
      <w:bodyDiv w:val="1"/>
      <w:marLeft w:val="0"/>
      <w:marRight w:val="0"/>
      <w:marTop w:val="0"/>
      <w:marBottom w:val="0"/>
      <w:divBdr>
        <w:top w:val="none" w:sz="0" w:space="0" w:color="auto"/>
        <w:left w:val="none" w:sz="0" w:space="0" w:color="auto"/>
        <w:bottom w:val="none" w:sz="0" w:space="0" w:color="auto"/>
        <w:right w:val="none" w:sz="0" w:space="0" w:color="auto"/>
      </w:divBdr>
      <w:divsChild>
        <w:div w:id="191260710">
          <w:marLeft w:val="0"/>
          <w:marRight w:val="0"/>
          <w:marTop w:val="0"/>
          <w:marBottom w:val="0"/>
          <w:divBdr>
            <w:top w:val="none" w:sz="0" w:space="0" w:color="auto"/>
            <w:left w:val="none" w:sz="0" w:space="0" w:color="auto"/>
            <w:bottom w:val="none" w:sz="0" w:space="0" w:color="auto"/>
            <w:right w:val="none" w:sz="0" w:space="0" w:color="auto"/>
          </w:divBdr>
        </w:div>
        <w:div w:id="340008527">
          <w:marLeft w:val="0"/>
          <w:marRight w:val="0"/>
          <w:marTop w:val="0"/>
          <w:marBottom w:val="0"/>
          <w:divBdr>
            <w:top w:val="none" w:sz="0" w:space="0" w:color="auto"/>
            <w:left w:val="none" w:sz="0" w:space="0" w:color="auto"/>
            <w:bottom w:val="none" w:sz="0" w:space="0" w:color="auto"/>
            <w:right w:val="none" w:sz="0" w:space="0" w:color="auto"/>
          </w:divBdr>
        </w:div>
        <w:div w:id="749737508">
          <w:marLeft w:val="0"/>
          <w:marRight w:val="0"/>
          <w:marTop w:val="0"/>
          <w:marBottom w:val="0"/>
          <w:divBdr>
            <w:top w:val="none" w:sz="0" w:space="0" w:color="auto"/>
            <w:left w:val="none" w:sz="0" w:space="0" w:color="auto"/>
            <w:bottom w:val="none" w:sz="0" w:space="0" w:color="auto"/>
            <w:right w:val="none" w:sz="0" w:space="0" w:color="auto"/>
          </w:divBdr>
        </w:div>
      </w:divsChild>
    </w:div>
    <w:div w:id="1625186800">
      <w:bodyDiv w:val="1"/>
      <w:marLeft w:val="0"/>
      <w:marRight w:val="0"/>
      <w:marTop w:val="0"/>
      <w:marBottom w:val="0"/>
      <w:divBdr>
        <w:top w:val="none" w:sz="0" w:space="0" w:color="auto"/>
        <w:left w:val="none" w:sz="0" w:space="0" w:color="auto"/>
        <w:bottom w:val="none" w:sz="0" w:space="0" w:color="auto"/>
        <w:right w:val="none" w:sz="0" w:space="0" w:color="auto"/>
      </w:divBdr>
    </w:div>
    <w:div w:id="1631008528">
      <w:bodyDiv w:val="1"/>
      <w:marLeft w:val="0"/>
      <w:marRight w:val="0"/>
      <w:marTop w:val="0"/>
      <w:marBottom w:val="0"/>
      <w:divBdr>
        <w:top w:val="none" w:sz="0" w:space="0" w:color="auto"/>
        <w:left w:val="none" w:sz="0" w:space="0" w:color="auto"/>
        <w:bottom w:val="none" w:sz="0" w:space="0" w:color="auto"/>
        <w:right w:val="none" w:sz="0" w:space="0" w:color="auto"/>
      </w:divBdr>
    </w:div>
    <w:div w:id="1669401413">
      <w:bodyDiv w:val="1"/>
      <w:marLeft w:val="0"/>
      <w:marRight w:val="0"/>
      <w:marTop w:val="0"/>
      <w:marBottom w:val="0"/>
      <w:divBdr>
        <w:top w:val="none" w:sz="0" w:space="0" w:color="auto"/>
        <w:left w:val="none" w:sz="0" w:space="0" w:color="auto"/>
        <w:bottom w:val="none" w:sz="0" w:space="0" w:color="auto"/>
        <w:right w:val="none" w:sz="0" w:space="0" w:color="auto"/>
      </w:divBdr>
    </w:div>
    <w:div w:id="1776290489">
      <w:bodyDiv w:val="1"/>
      <w:marLeft w:val="0"/>
      <w:marRight w:val="0"/>
      <w:marTop w:val="0"/>
      <w:marBottom w:val="0"/>
      <w:divBdr>
        <w:top w:val="none" w:sz="0" w:space="0" w:color="auto"/>
        <w:left w:val="none" w:sz="0" w:space="0" w:color="auto"/>
        <w:bottom w:val="none" w:sz="0" w:space="0" w:color="auto"/>
        <w:right w:val="none" w:sz="0" w:space="0" w:color="auto"/>
      </w:divBdr>
    </w:div>
    <w:div w:id="1848209476">
      <w:bodyDiv w:val="1"/>
      <w:marLeft w:val="0"/>
      <w:marRight w:val="0"/>
      <w:marTop w:val="0"/>
      <w:marBottom w:val="0"/>
      <w:divBdr>
        <w:top w:val="none" w:sz="0" w:space="0" w:color="auto"/>
        <w:left w:val="none" w:sz="0" w:space="0" w:color="auto"/>
        <w:bottom w:val="none" w:sz="0" w:space="0" w:color="auto"/>
        <w:right w:val="none" w:sz="0" w:space="0" w:color="auto"/>
      </w:divBdr>
    </w:div>
    <w:div w:id="1978410098">
      <w:bodyDiv w:val="1"/>
      <w:marLeft w:val="0"/>
      <w:marRight w:val="0"/>
      <w:marTop w:val="0"/>
      <w:marBottom w:val="0"/>
      <w:divBdr>
        <w:top w:val="none" w:sz="0" w:space="0" w:color="auto"/>
        <w:left w:val="none" w:sz="0" w:space="0" w:color="auto"/>
        <w:bottom w:val="none" w:sz="0" w:space="0" w:color="auto"/>
        <w:right w:val="none" w:sz="0" w:space="0" w:color="auto"/>
      </w:divBdr>
    </w:div>
    <w:div w:id="2044404678">
      <w:bodyDiv w:val="1"/>
      <w:marLeft w:val="0"/>
      <w:marRight w:val="0"/>
      <w:marTop w:val="0"/>
      <w:marBottom w:val="0"/>
      <w:divBdr>
        <w:top w:val="none" w:sz="0" w:space="0" w:color="auto"/>
        <w:left w:val="none" w:sz="0" w:space="0" w:color="auto"/>
        <w:bottom w:val="none" w:sz="0" w:space="0" w:color="auto"/>
        <w:right w:val="none" w:sz="0" w:space="0" w:color="auto"/>
      </w:divBdr>
    </w:div>
    <w:div w:id="211828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Lloyds-SolvencyReturns@lloyds.com" TargetMode="External"/><Relationship Id="rId21" Type="http://schemas.openxmlformats.org/officeDocument/2006/relationships/hyperlink" Target="https://www.lloyds.com/market-resources/tools/secureshare" TargetMode="External"/><Relationship Id="rId34" Type="http://schemas.openxmlformats.org/officeDocument/2006/relationships/header" Target="header6.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mailto:Lloyds-SolvencyReturns@lloyds.com" TargetMode="External"/><Relationship Id="rId33" Type="http://schemas.openxmlformats.org/officeDocument/2006/relationships/header" Target="header5.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lloyds.com/market-resources/solvency-uk" TargetMode="External"/><Relationship Id="rId29" Type="http://schemas.openxmlformats.org/officeDocument/2006/relationships/hyperlink" Target="mailto:Kate.Maloney@lloyds.co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lloyds.com/conducting-business/solvency-uk" TargetMode="External"/><Relationship Id="rId32" Type="http://schemas.openxmlformats.org/officeDocument/2006/relationships/header" Target="header4.xml"/><Relationship Id="rId37"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lloyds.com/conducting-business/solvency-uk/" TargetMode="External"/><Relationship Id="rId28" Type="http://schemas.openxmlformats.org/officeDocument/2006/relationships/hyperlink" Target="mailto:Sachin.Patel@lloyds.com" TargetMode="External"/><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lloyds.com/conducting-business/solvency-uk/" TargetMode="External"/><Relationship Id="rId31" Type="http://schemas.openxmlformats.org/officeDocument/2006/relationships/hyperlink" Target="https://www.lloyds.com/faq-solvency-u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mailto:Lloyds-SolvencyReturns@lloyds.com" TargetMode="External"/><Relationship Id="rId27" Type="http://schemas.openxmlformats.org/officeDocument/2006/relationships/hyperlink" Target="mailto:Vince.Santiago@lloyds.com" TargetMode="External"/><Relationship Id="rId30" Type="http://schemas.openxmlformats.org/officeDocument/2006/relationships/hyperlink" Target="mailto:Rixwan.Kermali@lloyds.com" TargetMode="External"/><Relationship Id="rId35" Type="http://schemas.openxmlformats.org/officeDocument/2006/relationships/footer" Target="footer4.xml"/><Relationship Id="rId8" Type="http://schemas.openxmlformats.org/officeDocument/2006/relationships/styles" Target="style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D525DFFD7E8F40B9430704B79C1686"/>
        <w:category>
          <w:name w:val="General"/>
          <w:gallery w:val="placeholder"/>
        </w:category>
        <w:types>
          <w:type w:val="bbPlcHdr"/>
        </w:types>
        <w:behaviors>
          <w:behavior w:val="content"/>
        </w:behaviors>
        <w:guid w:val="{E1634D23-9726-2B4A-8AF5-B3D300D01ACF}"/>
      </w:docPartPr>
      <w:docPartBody>
        <w:p w:rsidR="00885718" w:rsidRDefault="007B7E32" w:rsidP="007B7E32">
          <w:pPr>
            <w:pStyle w:val="54D525DFFD7E8F40B9430704B79C1686"/>
          </w:pPr>
          <w:r w:rsidRPr="00CE674E">
            <w:rPr>
              <w:rStyle w:val="PlaceholderText"/>
              <w:color w:val="156082" w:themeColor="accent1"/>
              <w:sz w:val="140"/>
              <w:szCs w:val="56"/>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ansa Lloyds">
    <w:altName w:val="Calibri"/>
    <w:charset w:val="00"/>
    <w:family w:val="auto"/>
    <w:pitch w:val="variable"/>
    <w:sig w:usb0="80000023" w:usb1="40000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72A0"/>
    <w:multiLevelType w:val="multilevel"/>
    <w:tmpl w:val="60EA73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F7236A1"/>
    <w:multiLevelType w:val="multilevel"/>
    <w:tmpl w:val="1E0CF9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95E4183"/>
    <w:multiLevelType w:val="multilevel"/>
    <w:tmpl w:val="1F403E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3E05134"/>
    <w:multiLevelType w:val="multilevel"/>
    <w:tmpl w:val="185286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CDF4862"/>
    <w:multiLevelType w:val="multilevel"/>
    <w:tmpl w:val="4EF6C3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87013764">
    <w:abstractNumId w:val="3"/>
  </w:num>
  <w:num w:numId="2" w16cid:durableId="2104064101">
    <w:abstractNumId w:val="4"/>
  </w:num>
  <w:num w:numId="3" w16cid:durableId="231889323">
    <w:abstractNumId w:val="1"/>
  </w:num>
  <w:num w:numId="4" w16cid:durableId="1150632558">
    <w:abstractNumId w:val="2"/>
  </w:num>
  <w:num w:numId="5" w16cid:durableId="185978079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1C1"/>
    <w:rsid w:val="00000E40"/>
    <w:rsid w:val="00002A95"/>
    <w:rsid w:val="00007005"/>
    <w:rsid w:val="000257A4"/>
    <w:rsid w:val="000368E9"/>
    <w:rsid w:val="00050613"/>
    <w:rsid w:val="0005755B"/>
    <w:rsid w:val="00064196"/>
    <w:rsid w:val="000666CB"/>
    <w:rsid w:val="0008662F"/>
    <w:rsid w:val="000A1382"/>
    <w:rsid w:val="000A63DB"/>
    <w:rsid w:val="000B18A4"/>
    <w:rsid w:val="000B4954"/>
    <w:rsid w:val="000C409E"/>
    <w:rsid w:val="000C7781"/>
    <w:rsid w:val="000C77DA"/>
    <w:rsid w:val="000D394D"/>
    <w:rsid w:val="000D3989"/>
    <w:rsid w:val="000E017A"/>
    <w:rsid w:val="000E25C4"/>
    <w:rsid w:val="000E6740"/>
    <w:rsid w:val="000F000E"/>
    <w:rsid w:val="00102FF2"/>
    <w:rsid w:val="001078C3"/>
    <w:rsid w:val="001140C1"/>
    <w:rsid w:val="00115354"/>
    <w:rsid w:val="00120888"/>
    <w:rsid w:val="001221C1"/>
    <w:rsid w:val="001264A3"/>
    <w:rsid w:val="00126FCB"/>
    <w:rsid w:val="00133082"/>
    <w:rsid w:val="00135B2A"/>
    <w:rsid w:val="00142730"/>
    <w:rsid w:val="00145A47"/>
    <w:rsid w:val="00147465"/>
    <w:rsid w:val="001608AE"/>
    <w:rsid w:val="001668BC"/>
    <w:rsid w:val="001706F0"/>
    <w:rsid w:val="00177D3C"/>
    <w:rsid w:val="001A3E0D"/>
    <w:rsid w:val="001A510F"/>
    <w:rsid w:val="001C1863"/>
    <w:rsid w:val="001D5D51"/>
    <w:rsid w:val="001F1575"/>
    <w:rsid w:val="001F347D"/>
    <w:rsid w:val="001F4EFC"/>
    <w:rsid w:val="00206395"/>
    <w:rsid w:val="00221957"/>
    <w:rsid w:val="002221B9"/>
    <w:rsid w:val="002261BE"/>
    <w:rsid w:val="00230E44"/>
    <w:rsid w:val="002331FD"/>
    <w:rsid w:val="00234547"/>
    <w:rsid w:val="00265ADD"/>
    <w:rsid w:val="00266B17"/>
    <w:rsid w:val="00270EAF"/>
    <w:rsid w:val="002839D6"/>
    <w:rsid w:val="00287512"/>
    <w:rsid w:val="00292534"/>
    <w:rsid w:val="0029469E"/>
    <w:rsid w:val="002B7BAA"/>
    <w:rsid w:val="002C1179"/>
    <w:rsid w:val="002C26A2"/>
    <w:rsid w:val="002D1ABD"/>
    <w:rsid w:val="002D29A5"/>
    <w:rsid w:val="002D2C60"/>
    <w:rsid w:val="002D2D45"/>
    <w:rsid w:val="002D7EF7"/>
    <w:rsid w:val="002E7872"/>
    <w:rsid w:val="002F2710"/>
    <w:rsid w:val="002F52CB"/>
    <w:rsid w:val="002F5AAA"/>
    <w:rsid w:val="00320759"/>
    <w:rsid w:val="00322FEB"/>
    <w:rsid w:val="003237DA"/>
    <w:rsid w:val="00330E78"/>
    <w:rsid w:val="00334B08"/>
    <w:rsid w:val="00337760"/>
    <w:rsid w:val="00344F04"/>
    <w:rsid w:val="00352FD7"/>
    <w:rsid w:val="00360160"/>
    <w:rsid w:val="00366877"/>
    <w:rsid w:val="00381887"/>
    <w:rsid w:val="00384321"/>
    <w:rsid w:val="0039307F"/>
    <w:rsid w:val="003961C9"/>
    <w:rsid w:val="00397986"/>
    <w:rsid w:val="003A6729"/>
    <w:rsid w:val="003D2272"/>
    <w:rsid w:val="003D550B"/>
    <w:rsid w:val="003D7678"/>
    <w:rsid w:val="003E55F0"/>
    <w:rsid w:val="003F609F"/>
    <w:rsid w:val="00401F8D"/>
    <w:rsid w:val="0040589A"/>
    <w:rsid w:val="00420066"/>
    <w:rsid w:val="0042351A"/>
    <w:rsid w:val="00424CED"/>
    <w:rsid w:val="00431A2F"/>
    <w:rsid w:val="004331DF"/>
    <w:rsid w:val="0043558D"/>
    <w:rsid w:val="00442E33"/>
    <w:rsid w:val="004463C1"/>
    <w:rsid w:val="00452B1E"/>
    <w:rsid w:val="00464EBF"/>
    <w:rsid w:val="00471CC7"/>
    <w:rsid w:val="00476313"/>
    <w:rsid w:val="004773B9"/>
    <w:rsid w:val="00487E69"/>
    <w:rsid w:val="00491B90"/>
    <w:rsid w:val="00497C3D"/>
    <w:rsid w:val="004A2FF4"/>
    <w:rsid w:val="004A7A00"/>
    <w:rsid w:val="004C5AB3"/>
    <w:rsid w:val="004D2987"/>
    <w:rsid w:val="004D653B"/>
    <w:rsid w:val="004D77A3"/>
    <w:rsid w:val="004F121D"/>
    <w:rsid w:val="004F36EF"/>
    <w:rsid w:val="004F4510"/>
    <w:rsid w:val="004F79CE"/>
    <w:rsid w:val="005008D5"/>
    <w:rsid w:val="00502ED2"/>
    <w:rsid w:val="0050767D"/>
    <w:rsid w:val="005222DA"/>
    <w:rsid w:val="00527596"/>
    <w:rsid w:val="00527D6B"/>
    <w:rsid w:val="00530D88"/>
    <w:rsid w:val="005443E6"/>
    <w:rsid w:val="005452E8"/>
    <w:rsid w:val="0055612F"/>
    <w:rsid w:val="00561AF8"/>
    <w:rsid w:val="0056625D"/>
    <w:rsid w:val="00571E4A"/>
    <w:rsid w:val="00576809"/>
    <w:rsid w:val="00577873"/>
    <w:rsid w:val="005845F3"/>
    <w:rsid w:val="00587128"/>
    <w:rsid w:val="00594ECD"/>
    <w:rsid w:val="005A09D8"/>
    <w:rsid w:val="005A46D3"/>
    <w:rsid w:val="005A46F0"/>
    <w:rsid w:val="005B0C22"/>
    <w:rsid w:val="005B738E"/>
    <w:rsid w:val="005C1739"/>
    <w:rsid w:val="005C536A"/>
    <w:rsid w:val="005D79DE"/>
    <w:rsid w:val="005E011B"/>
    <w:rsid w:val="005F082D"/>
    <w:rsid w:val="005F1585"/>
    <w:rsid w:val="005F1C45"/>
    <w:rsid w:val="005F45C3"/>
    <w:rsid w:val="0060278D"/>
    <w:rsid w:val="0060525B"/>
    <w:rsid w:val="006057AF"/>
    <w:rsid w:val="00606720"/>
    <w:rsid w:val="00623107"/>
    <w:rsid w:val="00623DA5"/>
    <w:rsid w:val="00633B7E"/>
    <w:rsid w:val="00643499"/>
    <w:rsid w:val="0064525D"/>
    <w:rsid w:val="006527E8"/>
    <w:rsid w:val="006644ED"/>
    <w:rsid w:val="006669BC"/>
    <w:rsid w:val="006704CB"/>
    <w:rsid w:val="00670762"/>
    <w:rsid w:val="00695BF2"/>
    <w:rsid w:val="006A1FC5"/>
    <w:rsid w:val="006A2C51"/>
    <w:rsid w:val="006B0E84"/>
    <w:rsid w:val="006C3C97"/>
    <w:rsid w:val="006D3A4F"/>
    <w:rsid w:val="006D3F31"/>
    <w:rsid w:val="006E6944"/>
    <w:rsid w:val="006E6DFB"/>
    <w:rsid w:val="006F74FC"/>
    <w:rsid w:val="00712638"/>
    <w:rsid w:val="0071440E"/>
    <w:rsid w:val="00721608"/>
    <w:rsid w:val="0072262B"/>
    <w:rsid w:val="00724DAC"/>
    <w:rsid w:val="00724DDF"/>
    <w:rsid w:val="0072527B"/>
    <w:rsid w:val="007262D9"/>
    <w:rsid w:val="0074098A"/>
    <w:rsid w:val="007444A0"/>
    <w:rsid w:val="00752C7B"/>
    <w:rsid w:val="00753E76"/>
    <w:rsid w:val="00761C88"/>
    <w:rsid w:val="007744E8"/>
    <w:rsid w:val="007777B7"/>
    <w:rsid w:val="00781011"/>
    <w:rsid w:val="00784E99"/>
    <w:rsid w:val="007A20F0"/>
    <w:rsid w:val="007A4F5D"/>
    <w:rsid w:val="007B7E32"/>
    <w:rsid w:val="007C332C"/>
    <w:rsid w:val="007C61A1"/>
    <w:rsid w:val="007D014E"/>
    <w:rsid w:val="007D0959"/>
    <w:rsid w:val="007E136D"/>
    <w:rsid w:val="007E2089"/>
    <w:rsid w:val="007E3648"/>
    <w:rsid w:val="007F1A3C"/>
    <w:rsid w:val="007F2A12"/>
    <w:rsid w:val="007F2BA0"/>
    <w:rsid w:val="00801BD5"/>
    <w:rsid w:val="008365C2"/>
    <w:rsid w:val="0083711E"/>
    <w:rsid w:val="00844865"/>
    <w:rsid w:val="00850FD8"/>
    <w:rsid w:val="00851982"/>
    <w:rsid w:val="008571A9"/>
    <w:rsid w:val="008606AA"/>
    <w:rsid w:val="008637F2"/>
    <w:rsid w:val="0087049E"/>
    <w:rsid w:val="00881CA2"/>
    <w:rsid w:val="0088277F"/>
    <w:rsid w:val="00885718"/>
    <w:rsid w:val="008A3991"/>
    <w:rsid w:val="008A4F18"/>
    <w:rsid w:val="008B33EF"/>
    <w:rsid w:val="008B4E03"/>
    <w:rsid w:val="008B79C2"/>
    <w:rsid w:val="008D2671"/>
    <w:rsid w:val="008D5494"/>
    <w:rsid w:val="008E627B"/>
    <w:rsid w:val="008E7DDD"/>
    <w:rsid w:val="00900E48"/>
    <w:rsid w:val="00903840"/>
    <w:rsid w:val="00915F87"/>
    <w:rsid w:val="00924C66"/>
    <w:rsid w:val="00945127"/>
    <w:rsid w:val="0094740F"/>
    <w:rsid w:val="00951B22"/>
    <w:rsid w:val="00952656"/>
    <w:rsid w:val="00960B6F"/>
    <w:rsid w:val="0096188C"/>
    <w:rsid w:val="00964150"/>
    <w:rsid w:val="00964B87"/>
    <w:rsid w:val="00965942"/>
    <w:rsid w:val="00970858"/>
    <w:rsid w:val="0097524E"/>
    <w:rsid w:val="00975FB2"/>
    <w:rsid w:val="00976483"/>
    <w:rsid w:val="00980E5D"/>
    <w:rsid w:val="0098453A"/>
    <w:rsid w:val="00990AEC"/>
    <w:rsid w:val="0099106F"/>
    <w:rsid w:val="009B1FEB"/>
    <w:rsid w:val="009C0F27"/>
    <w:rsid w:val="009C65FF"/>
    <w:rsid w:val="009D161A"/>
    <w:rsid w:val="009D219F"/>
    <w:rsid w:val="009D4468"/>
    <w:rsid w:val="009E4A52"/>
    <w:rsid w:val="009F7EB9"/>
    <w:rsid w:val="00A06583"/>
    <w:rsid w:val="00A11161"/>
    <w:rsid w:val="00A14DD6"/>
    <w:rsid w:val="00A16113"/>
    <w:rsid w:val="00A20B0C"/>
    <w:rsid w:val="00A25A3A"/>
    <w:rsid w:val="00A75511"/>
    <w:rsid w:val="00A81218"/>
    <w:rsid w:val="00A91379"/>
    <w:rsid w:val="00AB358D"/>
    <w:rsid w:val="00AB6B5D"/>
    <w:rsid w:val="00AC0BC9"/>
    <w:rsid w:val="00AC0DF9"/>
    <w:rsid w:val="00AC0F53"/>
    <w:rsid w:val="00AC61B2"/>
    <w:rsid w:val="00AD44E2"/>
    <w:rsid w:val="00AE0F64"/>
    <w:rsid w:val="00AE5641"/>
    <w:rsid w:val="00AF43D7"/>
    <w:rsid w:val="00B0031A"/>
    <w:rsid w:val="00B04B4F"/>
    <w:rsid w:val="00B1277A"/>
    <w:rsid w:val="00B21086"/>
    <w:rsid w:val="00B22935"/>
    <w:rsid w:val="00B232A7"/>
    <w:rsid w:val="00B43F53"/>
    <w:rsid w:val="00B46A78"/>
    <w:rsid w:val="00B53189"/>
    <w:rsid w:val="00B54C42"/>
    <w:rsid w:val="00B620B9"/>
    <w:rsid w:val="00B7658B"/>
    <w:rsid w:val="00B90BE5"/>
    <w:rsid w:val="00B920B9"/>
    <w:rsid w:val="00B943D9"/>
    <w:rsid w:val="00B96168"/>
    <w:rsid w:val="00B965D5"/>
    <w:rsid w:val="00B96E21"/>
    <w:rsid w:val="00BA1ADC"/>
    <w:rsid w:val="00BA5C1A"/>
    <w:rsid w:val="00BA7027"/>
    <w:rsid w:val="00BC4366"/>
    <w:rsid w:val="00BC79D6"/>
    <w:rsid w:val="00BD78F9"/>
    <w:rsid w:val="00BE4537"/>
    <w:rsid w:val="00BE6D7C"/>
    <w:rsid w:val="00BF217E"/>
    <w:rsid w:val="00BF30AD"/>
    <w:rsid w:val="00BF4CC5"/>
    <w:rsid w:val="00BF59F4"/>
    <w:rsid w:val="00C06614"/>
    <w:rsid w:val="00C10CD8"/>
    <w:rsid w:val="00C231F6"/>
    <w:rsid w:val="00C27611"/>
    <w:rsid w:val="00C30FC5"/>
    <w:rsid w:val="00C42A72"/>
    <w:rsid w:val="00C447BB"/>
    <w:rsid w:val="00C45B9D"/>
    <w:rsid w:val="00C5744C"/>
    <w:rsid w:val="00C70377"/>
    <w:rsid w:val="00C77D2C"/>
    <w:rsid w:val="00C85338"/>
    <w:rsid w:val="00C9428B"/>
    <w:rsid w:val="00CA3606"/>
    <w:rsid w:val="00CA4881"/>
    <w:rsid w:val="00CB0D69"/>
    <w:rsid w:val="00CC4514"/>
    <w:rsid w:val="00CD016E"/>
    <w:rsid w:val="00CD3543"/>
    <w:rsid w:val="00CD7A17"/>
    <w:rsid w:val="00CE47A1"/>
    <w:rsid w:val="00CE7BA4"/>
    <w:rsid w:val="00CF3322"/>
    <w:rsid w:val="00D018EE"/>
    <w:rsid w:val="00D04150"/>
    <w:rsid w:val="00D0601D"/>
    <w:rsid w:val="00D0672F"/>
    <w:rsid w:val="00D17221"/>
    <w:rsid w:val="00D339F9"/>
    <w:rsid w:val="00D37178"/>
    <w:rsid w:val="00D508A3"/>
    <w:rsid w:val="00D54748"/>
    <w:rsid w:val="00D639C0"/>
    <w:rsid w:val="00D8149E"/>
    <w:rsid w:val="00D82257"/>
    <w:rsid w:val="00D92DFC"/>
    <w:rsid w:val="00D93902"/>
    <w:rsid w:val="00DB16AC"/>
    <w:rsid w:val="00DB3F72"/>
    <w:rsid w:val="00DB6818"/>
    <w:rsid w:val="00DC0761"/>
    <w:rsid w:val="00DE5AEC"/>
    <w:rsid w:val="00DF02D6"/>
    <w:rsid w:val="00DF2044"/>
    <w:rsid w:val="00DF4350"/>
    <w:rsid w:val="00DF7C56"/>
    <w:rsid w:val="00E0270A"/>
    <w:rsid w:val="00E0743B"/>
    <w:rsid w:val="00E10A69"/>
    <w:rsid w:val="00E15E9E"/>
    <w:rsid w:val="00E3552E"/>
    <w:rsid w:val="00E40F8B"/>
    <w:rsid w:val="00E44B00"/>
    <w:rsid w:val="00E50307"/>
    <w:rsid w:val="00E57413"/>
    <w:rsid w:val="00E60026"/>
    <w:rsid w:val="00E66046"/>
    <w:rsid w:val="00E73A46"/>
    <w:rsid w:val="00E7417F"/>
    <w:rsid w:val="00E75BD5"/>
    <w:rsid w:val="00E8313B"/>
    <w:rsid w:val="00E93260"/>
    <w:rsid w:val="00E9332A"/>
    <w:rsid w:val="00EA3432"/>
    <w:rsid w:val="00EB0245"/>
    <w:rsid w:val="00EB300C"/>
    <w:rsid w:val="00EB43B6"/>
    <w:rsid w:val="00EB547A"/>
    <w:rsid w:val="00ED17D0"/>
    <w:rsid w:val="00ED3B8E"/>
    <w:rsid w:val="00ED499A"/>
    <w:rsid w:val="00EE386D"/>
    <w:rsid w:val="00F07F80"/>
    <w:rsid w:val="00F13E72"/>
    <w:rsid w:val="00F21A41"/>
    <w:rsid w:val="00F24C42"/>
    <w:rsid w:val="00F25E76"/>
    <w:rsid w:val="00F31FBF"/>
    <w:rsid w:val="00F343CC"/>
    <w:rsid w:val="00F34BE3"/>
    <w:rsid w:val="00F507CB"/>
    <w:rsid w:val="00F5335B"/>
    <w:rsid w:val="00F5525C"/>
    <w:rsid w:val="00F63DF0"/>
    <w:rsid w:val="00F64EDF"/>
    <w:rsid w:val="00F66B7E"/>
    <w:rsid w:val="00F67BD6"/>
    <w:rsid w:val="00F70167"/>
    <w:rsid w:val="00F707F1"/>
    <w:rsid w:val="00F7274E"/>
    <w:rsid w:val="00F75EFA"/>
    <w:rsid w:val="00F910D6"/>
    <w:rsid w:val="00FA30BC"/>
    <w:rsid w:val="00FA4CF6"/>
    <w:rsid w:val="00FB43E5"/>
    <w:rsid w:val="00FB62DB"/>
    <w:rsid w:val="00FC03A2"/>
    <w:rsid w:val="00FC465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4954"/>
    <w:rPr>
      <w:color w:val="808080"/>
    </w:rPr>
  </w:style>
  <w:style w:type="paragraph" w:customStyle="1" w:styleId="54D525DFFD7E8F40B9430704B79C1686">
    <w:name w:val="54D525DFFD7E8F40B9430704B79C1686"/>
    <w:rsid w:val="007B7E32"/>
    <w:pPr>
      <w:tabs>
        <w:tab w:val="right" w:pos="5897"/>
      </w:tabs>
      <w:spacing w:after="120" w:line="240" w:lineRule="atLeast"/>
    </w:pPr>
    <w:rPr>
      <w:rFonts w:ascii="Arial" w:eastAsia="Times New Roman" w:hAnsi="Arial" w:cs="Times New Roman"/>
      <w:sz w:val="18"/>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loyd's 2016">
  <a:themeElements>
    <a:clrScheme name="Lloyd's 2016">
      <a:dk1>
        <a:sysClr val="windowText" lastClr="000000"/>
      </a:dk1>
      <a:lt1>
        <a:sysClr val="window" lastClr="FFFFFF"/>
      </a:lt1>
      <a:dk2>
        <a:srgbClr val="717C7C"/>
      </a:dk2>
      <a:lt2>
        <a:srgbClr val="282F54"/>
      </a:lt2>
      <a:accent1>
        <a:srgbClr val="1E35BF"/>
      </a:accent1>
      <a:accent2>
        <a:srgbClr val="78E0C2"/>
      </a:accent2>
      <a:accent3>
        <a:srgbClr val="FF5A00"/>
      </a:accent3>
      <a:accent4>
        <a:srgbClr val="E60000"/>
      </a:accent4>
      <a:accent5>
        <a:srgbClr val="2CBAD8"/>
      </a:accent5>
      <a:accent6>
        <a:srgbClr val="F200C2"/>
      </a:accent6>
      <a:hlink>
        <a:srgbClr val="FFD200"/>
      </a:hlink>
      <a:folHlink>
        <a:srgbClr val="78E0C2"/>
      </a:folHlink>
    </a:clrScheme>
    <a:fontScheme name="Lloyds Pri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bg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Lloyd's 2016" id="{647B39FB-2D16-4746-8F31-F2CD0EED2516}" vid="{CB4189F0-D46D-42C3-8A12-0D3E95F991E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formDataEntries":[]}]]></TemplafyFormConfigura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87bddc0-3589-412e-b769-a92a9a248f35">
      <Terms xmlns="http://schemas.microsoft.com/office/infopath/2007/PartnerControls"/>
    </lcf76f155ced4ddcb4097134ff3c332f>
    <TaxCatchAll xmlns="a46d3e8b-330c-460f-8cff-ab2ca519a62f" xsi:nil="true"/>
    <Comments xmlns="887bddc0-3589-412e-b769-a92a9a248f35">Working draft to reflect changes resulting from your feedback liv</Comment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E9BE8ADF0917974C9B082B6091E5D349" ma:contentTypeVersion="13" ma:contentTypeDescription="Create a new document." ma:contentTypeScope="" ma:versionID="6555ea87b7d47690c017ea8a3546440f">
  <xsd:schema xmlns:xsd="http://www.w3.org/2001/XMLSchema" xmlns:xs="http://www.w3.org/2001/XMLSchema" xmlns:p="http://schemas.microsoft.com/office/2006/metadata/properties" xmlns:ns1="http://schemas.microsoft.com/sharepoint/v3" xmlns:ns2="887bddc0-3589-412e-b769-a92a9a248f35" xmlns:ns3="a46d3e8b-330c-460f-8cff-ab2ca519a62f" targetNamespace="http://schemas.microsoft.com/office/2006/metadata/properties" ma:root="true" ma:fieldsID="6c9160a56f56d5e3746cd66ccaa71d52" ns1:_="" ns2:_="" ns3:_="">
    <xsd:import namespace="http://schemas.microsoft.com/sharepoint/v3"/>
    <xsd:import namespace="887bddc0-3589-412e-b769-a92a9a248f35"/>
    <xsd:import namespace="a46d3e8b-330c-460f-8cff-ab2ca519a6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omment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7bddc0-3589-412e-b769-a92a9a248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omments" ma:index="11" nillable="true" ma:displayName="Comments" ma:format="Dropdown" ma:internalName="Comments">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ca62c2d-09df-4e68-912c-3f87823c841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6d3e8b-330c-460f-8cff-ab2ca519a62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933a7f2-8a71-40fd-89c9-1978c5ccac73}" ma:internalName="TaxCatchAll" ma:showField="CatchAllData" ma:web="a46d3e8b-330c-460f-8cff-ab2ca519a6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mplafyTemplateConfiguration><![CDATA[{"elementsMetadata":[],"transformationConfigurations":[],"templateName":"Global Policy","templateDescription":"","enableDocumentContentUpdater":false,"version":"2.0"}]]></TemplafyTemplateConfiguration>
</file>

<file path=customXml/itemProps1.xml><?xml version="1.0" encoding="utf-8"?>
<ds:datastoreItem xmlns:ds="http://schemas.openxmlformats.org/officeDocument/2006/customXml" ds:itemID="{07502B2E-0318-4750-88CC-DC978A94A659}">
  <ds:schemaRefs/>
</ds:datastoreItem>
</file>

<file path=customXml/itemProps2.xml><?xml version="1.0" encoding="utf-8"?>
<ds:datastoreItem xmlns:ds="http://schemas.openxmlformats.org/officeDocument/2006/customXml" ds:itemID="{B247386F-2E94-4D8A-978A-45C3F3ED8DA0}">
  <ds:schemaRefs>
    <ds:schemaRef ds:uri="http://schemas.microsoft.com/sharepoint/v3/contenttype/forms"/>
  </ds:schemaRefs>
</ds:datastoreItem>
</file>

<file path=customXml/itemProps3.xml><?xml version="1.0" encoding="utf-8"?>
<ds:datastoreItem xmlns:ds="http://schemas.openxmlformats.org/officeDocument/2006/customXml" ds:itemID="{5C1C89C9-FD0E-4DB2-8173-84B7860E490D}">
  <ds:schemaRefs>
    <ds:schemaRef ds:uri="http://schemas.microsoft.com/office/2006/metadata/properties"/>
    <ds:schemaRef ds:uri="http://schemas.microsoft.com/office/infopath/2007/PartnerControls"/>
    <ds:schemaRef ds:uri="http://schemas.microsoft.com/sharepoint/v3"/>
    <ds:schemaRef ds:uri="887bddc0-3589-412e-b769-a92a9a248f35"/>
    <ds:schemaRef ds:uri="a46d3e8b-330c-460f-8cff-ab2ca519a62f"/>
  </ds:schemaRefs>
</ds:datastoreItem>
</file>

<file path=customXml/itemProps4.xml><?xml version="1.0" encoding="utf-8"?>
<ds:datastoreItem xmlns:ds="http://schemas.openxmlformats.org/officeDocument/2006/customXml" ds:itemID="{5ED0DAC2-4056-443E-BDFD-59783A6640E6}">
  <ds:schemaRefs>
    <ds:schemaRef ds:uri="http://schemas.openxmlformats.org/officeDocument/2006/bibliography"/>
  </ds:schemaRefs>
</ds:datastoreItem>
</file>

<file path=customXml/itemProps5.xml><?xml version="1.0" encoding="utf-8"?>
<ds:datastoreItem xmlns:ds="http://schemas.openxmlformats.org/officeDocument/2006/customXml" ds:itemID="{783EAEC1-2A68-469A-9464-713B40FF2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87bddc0-3589-412e-b769-a92a9a248f35"/>
    <ds:schemaRef ds:uri="a46d3e8b-330c-460f-8cff-ab2ca519a6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57FBAB5-C600-4B82-BABE-410E03DB97F2}">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17</Pages>
  <Words>5957</Words>
  <Characters>33955</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Report</vt:lpstr>
    </vt:vector>
  </TitlesOfParts>
  <Company>Lloyd's</Company>
  <LinksUpToDate>false</LinksUpToDate>
  <CharactersWithSpaces>39833</CharactersWithSpaces>
  <SharedDoc>false</SharedDoc>
  <HLinks>
    <vt:vector size="288" baseType="variant">
      <vt:variant>
        <vt:i4>6815870</vt:i4>
      </vt:variant>
      <vt:variant>
        <vt:i4>237</vt:i4>
      </vt:variant>
      <vt:variant>
        <vt:i4>0</vt:i4>
      </vt:variant>
      <vt:variant>
        <vt:i4>5</vt:i4>
      </vt:variant>
      <vt:variant>
        <vt:lpwstr>https://www.lloyds.com/faq-solvency-uk</vt:lpwstr>
      </vt:variant>
      <vt:variant>
        <vt:lpwstr/>
      </vt:variant>
      <vt:variant>
        <vt:i4>7012365</vt:i4>
      </vt:variant>
      <vt:variant>
        <vt:i4>234</vt:i4>
      </vt:variant>
      <vt:variant>
        <vt:i4>0</vt:i4>
      </vt:variant>
      <vt:variant>
        <vt:i4>5</vt:i4>
      </vt:variant>
      <vt:variant>
        <vt:lpwstr>mailto:Rixwan.Kermali@lloyds.com</vt:lpwstr>
      </vt:variant>
      <vt:variant>
        <vt:lpwstr/>
      </vt:variant>
      <vt:variant>
        <vt:i4>1048702</vt:i4>
      </vt:variant>
      <vt:variant>
        <vt:i4>231</vt:i4>
      </vt:variant>
      <vt:variant>
        <vt:i4>0</vt:i4>
      </vt:variant>
      <vt:variant>
        <vt:i4>5</vt:i4>
      </vt:variant>
      <vt:variant>
        <vt:lpwstr>mailto:Kate.Maloney@lloyds.com</vt:lpwstr>
      </vt:variant>
      <vt:variant>
        <vt:lpwstr/>
      </vt:variant>
      <vt:variant>
        <vt:i4>1638499</vt:i4>
      </vt:variant>
      <vt:variant>
        <vt:i4>228</vt:i4>
      </vt:variant>
      <vt:variant>
        <vt:i4>0</vt:i4>
      </vt:variant>
      <vt:variant>
        <vt:i4>5</vt:i4>
      </vt:variant>
      <vt:variant>
        <vt:lpwstr>mailto:Sachin.Patel@lloyds.com</vt:lpwstr>
      </vt:variant>
      <vt:variant>
        <vt:lpwstr/>
      </vt:variant>
      <vt:variant>
        <vt:i4>2359379</vt:i4>
      </vt:variant>
      <vt:variant>
        <vt:i4>225</vt:i4>
      </vt:variant>
      <vt:variant>
        <vt:i4>0</vt:i4>
      </vt:variant>
      <vt:variant>
        <vt:i4>5</vt:i4>
      </vt:variant>
      <vt:variant>
        <vt:lpwstr>mailto:Vince.Santiago@lloyds.com</vt:lpwstr>
      </vt:variant>
      <vt:variant>
        <vt:lpwstr/>
      </vt:variant>
      <vt:variant>
        <vt:i4>7340052</vt:i4>
      </vt:variant>
      <vt:variant>
        <vt:i4>222</vt:i4>
      </vt:variant>
      <vt:variant>
        <vt:i4>0</vt:i4>
      </vt:variant>
      <vt:variant>
        <vt:i4>5</vt:i4>
      </vt:variant>
      <vt:variant>
        <vt:lpwstr>mailto:Lloyds-SolvencyReturns@lloyds.com</vt:lpwstr>
      </vt:variant>
      <vt:variant>
        <vt:lpwstr/>
      </vt:variant>
      <vt:variant>
        <vt:i4>7340052</vt:i4>
      </vt:variant>
      <vt:variant>
        <vt:i4>219</vt:i4>
      </vt:variant>
      <vt:variant>
        <vt:i4>0</vt:i4>
      </vt:variant>
      <vt:variant>
        <vt:i4>5</vt:i4>
      </vt:variant>
      <vt:variant>
        <vt:lpwstr>mailto:Lloyds-SolvencyReturns@lloyds.com</vt:lpwstr>
      </vt:variant>
      <vt:variant>
        <vt:lpwstr/>
      </vt:variant>
      <vt:variant>
        <vt:i4>3801207</vt:i4>
      </vt:variant>
      <vt:variant>
        <vt:i4>216</vt:i4>
      </vt:variant>
      <vt:variant>
        <vt:i4>0</vt:i4>
      </vt:variant>
      <vt:variant>
        <vt:i4>5</vt:i4>
      </vt:variant>
      <vt:variant>
        <vt:lpwstr>https://www.lloyds.com/conducting-business/solvency-uk</vt:lpwstr>
      </vt:variant>
      <vt:variant>
        <vt:lpwstr/>
      </vt:variant>
      <vt:variant>
        <vt:i4>3801207</vt:i4>
      </vt:variant>
      <vt:variant>
        <vt:i4>213</vt:i4>
      </vt:variant>
      <vt:variant>
        <vt:i4>0</vt:i4>
      </vt:variant>
      <vt:variant>
        <vt:i4>5</vt:i4>
      </vt:variant>
      <vt:variant>
        <vt:lpwstr>https://www.lloyds.com/conducting-business/solvency-uk/</vt:lpwstr>
      </vt:variant>
      <vt:variant>
        <vt:lpwstr/>
      </vt:variant>
      <vt:variant>
        <vt:i4>7340052</vt:i4>
      </vt:variant>
      <vt:variant>
        <vt:i4>210</vt:i4>
      </vt:variant>
      <vt:variant>
        <vt:i4>0</vt:i4>
      </vt:variant>
      <vt:variant>
        <vt:i4>5</vt:i4>
      </vt:variant>
      <vt:variant>
        <vt:lpwstr>mailto:Lloyds-SolvencyReturns@lloyds.com</vt:lpwstr>
      </vt:variant>
      <vt:variant>
        <vt:lpwstr/>
      </vt:variant>
      <vt:variant>
        <vt:i4>393291</vt:i4>
      </vt:variant>
      <vt:variant>
        <vt:i4>207</vt:i4>
      </vt:variant>
      <vt:variant>
        <vt:i4>0</vt:i4>
      </vt:variant>
      <vt:variant>
        <vt:i4>5</vt:i4>
      </vt:variant>
      <vt:variant>
        <vt:lpwstr>https://www.lloyds.com/market-resources/tools/secureshare</vt:lpwstr>
      </vt:variant>
      <vt:variant>
        <vt:lpwstr/>
      </vt:variant>
      <vt:variant>
        <vt:i4>4063335</vt:i4>
      </vt:variant>
      <vt:variant>
        <vt:i4>204</vt:i4>
      </vt:variant>
      <vt:variant>
        <vt:i4>0</vt:i4>
      </vt:variant>
      <vt:variant>
        <vt:i4>5</vt:i4>
      </vt:variant>
      <vt:variant>
        <vt:lpwstr>https://www.lloyds.com/market-resources/solvency-uk</vt:lpwstr>
      </vt:variant>
      <vt:variant>
        <vt:lpwstr/>
      </vt:variant>
      <vt:variant>
        <vt:i4>3801207</vt:i4>
      </vt:variant>
      <vt:variant>
        <vt:i4>201</vt:i4>
      </vt:variant>
      <vt:variant>
        <vt:i4>0</vt:i4>
      </vt:variant>
      <vt:variant>
        <vt:i4>5</vt:i4>
      </vt:variant>
      <vt:variant>
        <vt:lpwstr>https://www.lloyds.com/conducting-business/solvency-uk/</vt:lpwstr>
      </vt:variant>
      <vt:variant>
        <vt:lpwstr/>
      </vt:variant>
      <vt:variant>
        <vt:i4>1048634</vt:i4>
      </vt:variant>
      <vt:variant>
        <vt:i4>194</vt:i4>
      </vt:variant>
      <vt:variant>
        <vt:i4>0</vt:i4>
      </vt:variant>
      <vt:variant>
        <vt:i4>5</vt:i4>
      </vt:variant>
      <vt:variant>
        <vt:lpwstr/>
      </vt:variant>
      <vt:variant>
        <vt:lpwstr>_Toc225844996</vt:lpwstr>
      </vt:variant>
      <vt:variant>
        <vt:i4>1048634</vt:i4>
      </vt:variant>
      <vt:variant>
        <vt:i4>188</vt:i4>
      </vt:variant>
      <vt:variant>
        <vt:i4>0</vt:i4>
      </vt:variant>
      <vt:variant>
        <vt:i4>5</vt:i4>
      </vt:variant>
      <vt:variant>
        <vt:lpwstr/>
      </vt:variant>
      <vt:variant>
        <vt:lpwstr>_Toc225844995</vt:lpwstr>
      </vt:variant>
      <vt:variant>
        <vt:i4>1048634</vt:i4>
      </vt:variant>
      <vt:variant>
        <vt:i4>182</vt:i4>
      </vt:variant>
      <vt:variant>
        <vt:i4>0</vt:i4>
      </vt:variant>
      <vt:variant>
        <vt:i4>5</vt:i4>
      </vt:variant>
      <vt:variant>
        <vt:lpwstr/>
      </vt:variant>
      <vt:variant>
        <vt:lpwstr>_Toc225844994</vt:lpwstr>
      </vt:variant>
      <vt:variant>
        <vt:i4>1048634</vt:i4>
      </vt:variant>
      <vt:variant>
        <vt:i4>176</vt:i4>
      </vt:variant>
      <vt:variant>
        <vt:i4>0</vt:i4>
      </vt:variant>
      <vt:variant>
        <vt:i4>5</vt:i4>
      </vt:variant>
      <vt:variant>
        <vt:lpwstr/>
      </vt:variant>
      <vt:variant>
        <vt:lpwstr>_Toc225844993</vt:lpwstr>
      </vt:variant>
      <vt:variant>
        <vt:i4>1048634</vt:i4>
      </vt:variant>
      <vt:variant>
        <vt:i4>170</vt:i4>
      </vt:variant>
      <vt:variant>
        <vt:i4>0</vt:i4>
      </vt:variant>
      <vt:variant>
        <vt:i4>5</vt:i4>
      </vt:variant>
      <vt:variant>
        <vt:lpwstr/>
      </vt:variant>
      <vt:variant>
        <vt:lpwstr>_Toc225844992</vt:lpwstr>
      </vt:variant>
      <vt:variant>
        <vt:i4>1048634</vt:i4>
      </vt:variant>
      <vt:variant>
        <vt:i4>164</vt:i4>
      </vt:variant>
      <vt:variant>
        <vt:i4>0</vt:i4>
      </vt:variant>
      <vt:variant>
        <vt:i4>5</vt:i4>
      </vt:variant>
      <vt:variant>
        <vt:lpwstr/>
      </vt:variant>
      <vt:variant>
        <vt:lpwstr>_Toc225844991</vt:lpwstr>
      </vt:variant>
      <vt:variant>
        <vt:i4>1048634</vt:i4>
      </vt:variant>
      <vt:variant>
        <vt:i4>158</vt:i4>
      </vt:variant>
      <vt:variant>
        <vt:i4>0</vt:i4>
      </vt:variant>
      <vt:variant>
        <vt:i4>5</vt:i4>
      </vt:variant>
      <vt:variant>
        <vt:lpwstr/>
      </vt:variant>
      <vt:variant>
        <vt:lpwstr>_Toc225844990</vt:lpwstr>
      </vt:variant>
      <vt:variant>
        <vt:i4>1114170</vt:i4>
      </vt:variant>
      <vt:variant>
        <vt:i4>152</vt:i4>
      </vt:variant>
      <vt:variant>
        <vt:i4>0</vt:i4>
      </vt:variant>
      <vt:variant>
        <vt:i4>5</vt:i4>
      </vt:variant>
      <vt:variant>
        <vt:lpwstr/>
      </vt:variant>
      <vt:variant>
        <vt:lpwstr>_Toc225844989</vt:lpwstr>
      </vt:variant>
      <vt:variant>
        <vt:i4>1114170</vt:i4>
      </vt:variant>
      <vt:variant>
        <vt:i4>146</vt:i4>
      </vt:variant>
      <vt:variant>
        <vt:i4>0</vt:i4>
      </vt:variant>
      <vt:variant>
        <vt:i4>5</vt:i4>
      </vt:variant>
      <vt:variant>
        <vt:lpwstr/>
      </vt:variant>
      <vt:variant>
        <vt:lpwstr>_Toc225844988</vt:lpwstr>
      </vt:variant>
      <vt:variant>
        <vt:i4>1114170</vt:i4>
      </vt:variant>
      <vt:variant>
        <vt:i4>140</vt:i4>
      </vt:variant>
      <vt:variant>
        <vt:i4>0</vt:i4>
      </vt:variant>
      <vt:variant>
        <vt:i4>5</vt:i4>
      </vt:variant>
      <vt:variant>
        <vt:lpwstr/>
      </vt:variant>
      <vt:variant>
        <vt:lpwstr>_Toc225844987</vt:lpwstr>
      </vt:variant>
      <vt:variant>
        <vt:i4>1114170</vt:i4>
      </vt:variant>
      <vt:variant>
        <vt:i4>134</vt:i4>
      </vt:variant>
      <vt:variant>
        <vt:i4>0</vt:i4>
      </vt:variant>
      <vt:variant>
        <vt:i4>5</vt:i4>
      </vt:variant>
      <vt:variant>
        <vt:lpwstr/>
      </vt:variant>
      <vt:variant>
        <vt:lpwstr>_Toc225844986</vt:lpwstr>
      </vt:variant>
      <vt:variant>
        <vt:i4>1114170</vt:i4>
      </vt:variant>
      <vt:variant>
        <vt:i4>128</vt:i4>
      </vt:variant>
      <vt:variant>
        <vt:i4>0</vt:i4>
      </vt:variant>
      <vt:variant>
        <vt:i4>5</vt:i4>
      </vt:variant>
      <vt:variant>
        <vt:lpwstr/>
      </vt:variant>
      <vt:variant>
        <vt:lpwstr>_Toc225844985</vt:lpwstr>
      </vt:variant>
      <vt:variant>
        <vt:i4>1114170</vt:i4>
      </vt:variant>
      <vt:variant>
        <vt:i4>122</vt:i4>
      </vt:variant>
      <vt:variant>
        <vt:i4>0</vt:i4>
      </vt:variant>
      <vt:variant>
        <vt:i4>5</vt:i4>
      </vt:variant>
      <vt:variant>
        <vt:lpwstr/>
      </vt:variant>
      <vt:variant>
        <vt:lpwstr>_Toc225844983</vt:lpwstr>
      </vt:variant>
      <vt:variant>
        <vt:i4>1114170</vt:i4>
      </vt:variant>
      <vt:variant>
        <vt:i4>116</vt:i4>
      </vt:variant>
      <vt:variant>
        <vt:i4>0</vt:i4>
      </vt:variant>
      <vt:variant>
        <vt:i4>5</vt:i4>
      </vt:variant>
      <vt:variant>
        <vt:lpwstr/>
      </vt:variant>
      <vt:variant>
        <vt:lpwstr>_Toc225844982</vt:lpwstr>
      </vt:variant>
      <vt:variant>
        <vt:i4>1114170</vt:i4>
      </vt:variant>
      <vt:variant>
        <vt:i4>110</vt:i4>
      </vt:variant>
      <vt:variant>
        <vt:i4>0</vt:i4>
      </vt:variant>
      <vt:variant>
        <vt:i4>5</vt:i4>
      </vt:variant>
      <vt:variant>
        <vt:lpwstr/>
      </vt:variant>
      <vt:variant>
        <vt:lpwstr>_Toc225844981</vt:lpwstr>
      </vt:variant>
      <vt:variant>
        <vt:i4>1114170</vt:i4>
      </vt:variant>
      <vt:variant>
        <vt:i4>104</vt:i4>
      </vt:variant>
      <vt:variant>
        <vt:i4>0</vt:i4>
      </vt:variant>
      <vt:variant>
        <vt:i4>5</vt:i4>
      </vt:variant>
      <vt:variant>
        <vt:lpwstr/>
      </vt:variant>
      <vt:variant>
        <vt:lpwstr>_Toc225844980</vt:lpwstr>
      </vt:variant>
      <vt:variant>
        <vt:i4>1966138</vt:i4>
      </vt:variant>
      <vt:variant>
        <vt:i4>98</vt:i4>
      </vt:variant>
      <vt:variant>
        <vt:i4>0</vt:i4>
      </vt:variant>
      <vt:variant>
        <vt:i4>5</vt:i4>
      </vt:variant>
      <vt:variant>
        <vt:lpwstr/>
      </vt:variant>
      <vt:variant>
        <vt:lpwstr>_Toc225844979</vt:lpwstr>
      </vt:variant>
      <vt:variant>
        <vt:i4>1966138</vt:i4>
      </vt:variant>
      <vt:variant>
        <vt:i4>92</vt:i4>
      </vt:variant>
      <vt:variant>
        <vt:i4>0</vt:i4>
      </vt:variant>
      <vt:variant>
        <vt:i4>5</vt:i4>
      </vt:variant>
      <vt:variant>
        <vt:lpwstr/>
      </vt:variant>
      <vt:variant>
        <vt:lpwstr>_Toc225844978</vt:lpwstr>
      </vt:variant>
      <vt:variant>
        <vt:i4>1966138</vt:i4>
      </vt:variant>
      <vt:variant>
        <vt:i4>86</vt:i4>
      </vt:variant>
      <vt:variant>
        <vt:i4>0</vt:i4>
      </vt:variant>
      <vt:variant>
        <vt:i4>5</vt:i4>
      </vt:variant>
      <vt:variant>
        <vt:lpwstr/>
      </vt:variant>
      <vt:variant>
        <vt:lpwstr>_Toc225844977</vt:lpwstr>
      </vt:variant>
      <vt:variant>
        <vt:i4>1966138</vt:i4>
      </vt:variant>
      <vt:variant>
        <vt:i4>80</vt:i4>
      </vt:variant>
      <vt:variant>
        <vt:i4>0</vt:i4>
      </vt:variant>
      <vt:variant>
        <vt:i4>5</vt:i4>
      </vt:variant>
      <vt:variant>
        <vt:lpwstr/>
      </vt:variant>
      <vt:variant>
        <vt:lpwstr>_Toc225844976</vt:lpwstr>
      </vt:variant>
      <vt:variant>
        <vt:i4>1966138</vt:i4>
      </vt:variant>
      <vt:variant>
        <vt:i4>74</vt:i4>
      </vt:variant>
      <vt:variant>
        <vt:i4>0</vt:i4>
      </vt:variant>
      <vt:variant>
        <vt:i4>5</vt:i4>
      </vt:variant>
      <vt:variant>
        <vt:lpwstr/>
      </vt:variant>
      <vt:variant>
        <vt:lpwstr>_Toc225844975</vt:lpwstr>
      </vt:variant>
      <vt:variant>
        <vt:i4>1966138</vt:i4>
      </vt:variant>
      <vt:variant>
        <vt:i4>68</vt:i4>
      </vt:variant>
      <vt:variant>
        <vt:i4>0</vt:i4>
      </vt:variant>
      <vt:variant>
        <vt:i4>5</vt:i4>
      </vt:variant>
      <vt:variant>
        <vt:lpwstr/>
      </vt:variant>
      <vt:variant>
        <vt:lpwstr>_Toc225844974</vt:lpwstr>
      </vt:variant>
      <vt:variant>
        <vt:i4>1966138</vt:i4>
      </vt:variant>
      <vt:variant>
        <vt:i4>62</vt:i4>
      </vt:variant>
      <vt:variant>
        <vt:i4>0</vt:i4>
      </vt:variant>
      <vt:variant>
        <vt:i4>5</vt:i4>
      </vt:variant>
      <vt:variant>
        <vt:lpwstr/>
      </vt:variant>
      <vt:variant>
        <vt:lpwstr>_Toc225844973</vt:lpwstr>
      </vt:variant>
      <vt:variant>
        <vt:i4>1966138</vt:i4>
      </vt:variant>
      <vt:variant>
        <vt:i4>56</vt:i4>
      </vt:variant>
      <vt:variant>
        <vt:i4>0</vt:i4>
      </vt:variant>
      <vt:variant>
        <vt:i4>5</vt:i4>
      </vt:variant>
      <vt:variant>
        <vt:lpwstr/>
      </vt:variant>
      <vt:variant>
        <vt:lpwstr>_Toc225844972</vt:lpwstr>
      </vt:variant>
      <vt:variant>
        <vt:i4>1966138</vt:i4>
      </vt:variant>
      <vt:variant>
        <vt:i4>50</vt:i4>
      </vt:variant>
      <vt:variant>
        <vt:i4>0</vt:i4>
      </vt:variant>
      <vt:variant>
        <vt:i4>5</vt:i4>
      </vt:variant>
      <vt:variant>
        <vt:lpwstr/>
      </vt:variant>
      <vt:variant>
        <vt:lpwstr>_Toc225844971</vt:lpwstr>
      </vt:variant>
      <vt:variant>
        <vt:i4>1966138</vt:i4>
      </vt:variant>
      <vt:variant>
        <vt:i4>44</vt:i4>
      </vt:variant>
      <vt:variant>
        <vt:i4>0</vt:i4>
      </vt:variant>
      <vt:variant>
        <vt:i4>5</vt:i4>
      </vt:variant>
      <vt:variant>
        <vt:lpwstr/>
      </vt:variant>
      <vt:variant>
        <vt:lpwstr>_Toc225844970</vt:lpwstr>
      </vt:variant>
      <vt:variant>
        <vt:i4>2031674</vt:i4>
      </vt:variant>
      <vt:variant>
        <vt:i4>38</vt:i4>
      </vt:variant>
      <vt:variant>
        <vt:i4>0</vt:i4>
      </vt:variant>
      <vt:variant>
        <vt:i4>5</vt:i4>
      </vt:variant>
      <vt:variant>
        <vt:lpwstr/>
      </vt:variant>
      <vt:variant>
        <vt:lpwstr>_Toc225844969</vt:lpwstr>
      </vt:variant>
      <vt:variant>
        <vt:i4>2031674</vt:i4>
      </vt:variant>
      <vt:variant>
        <vt:i4>32</vt:i4>
      </vt:variant>
      <vt:variant>
        <vt:i4>0</vt:i4>
      </vt:variant>
      <vt:variant>
        <vt:i4>5</vt:i4>
      </vt:variant>
      <vt:variant>
        <vt:lpwstr/>
      </vt:variant>
      <vt:variant>
        <vt:lpwstr>_Toc225844968</vt:lpwstr>
      </vt:variant>
      <vt:variant>
        <vt:i4>2031674</vt:i4>
      </vt:variant>
      <vt:variant>
        <vt:i4>26</vt:i4>
      </vt:variant>
      <vt:variant>
        <vt:i4>0</vt:i4>
      </vt:variant>
      <vt:variant>
        <vt:i4>5</vt:i4>
      </vt:variant>
      <vt:variant>
        <vt:lpwstr/>
      </vt:variant>
      <vt:variant>
        <vt:lpwstr>_Toc225844967</vt:lpwstr>
      </vt:variant>
      <vt:variant>
        <vt:i4>2031674</vt:i4>
      </vt:variant>
      <vt:variant>
        <vt:i4>20</vt:i4>
      </vt:variant>
      <vt:variant>
        <vt:i4>0</vt:i4>
      </vt:variant>
      <vt:variant>
        <vt:i4>5</vt:i4>
      </vt:variant>
      <vt:variant>
        <vt:lpwstr/>
      </vt:variant>
      <vt:variant>
        <vt:lpwstr>_Toc225844966</vt:lpwstr>
      </vt:variant>
      <vt:variant>
        <vt:i4>2031674</vt:i4>
      </vt:variant>
      <vt:variant>
        <vt:i4>14</vt:i4>
      </vt:variant>
      <vt:variant>
        <vt:i4>0</vt:i4>
      </vt:variant>
      <vt:variant>
        <vt:i4>5</vt:i4>
      </vt:variant>
      <vt:variant>
        <vt:lpwstr/>
      </vt:variant>
      <vt:variant>
        <vt:lpwstr>_Toc225844965</vt:lpwstr>
      </vt:variant>
      <vt:variant>
        <vt:i4>2031674</vt:i4>
      </vt:variant>
      <vt:variant>
        <vt:i4>8</vt:i4>
      </vt:variant>
      <vt:variant>
        <vt:i4>0</vt:i4>
      </vt:variant>
      <vt:variant>
        <vt:i4>5</vt:i4>
      </vt:variant>
      <vt:variant>
        <vt:lpwstr/>
      </vt:variant>
      <vt:variant>
        <vt:lpwstr>_Toc225844964</vt:lpwstr>
      </vt:variant>
      <vt:variant>
        <vt:i4>2031674</vt:i4>
      </vt:variant>
      <vt:variant>
        <vt:i4>2</vt:i4>
      </vt:variant>
      <vt:variant>
        <vt:i4>0</vt:i4>
      </vt:variant>
      <vt:variant>
        <vt:i4>5</vt:i4>
      </vt:variant>
      <vt:variant>
        <vt:lpwstr/>
      </vt:variant>
      <vt:variant>
        <vt:lpwstr>_Toc225844963</vt:lpwstr>
      </vt:variant>
      <vt:variant>
        <vt:i4>5832814</vt:i4>
      </vt:variant>
      <vt:variant>
        <vt:i4>3</vt:i4>
      </vt:variant>
      <vt:variant>
        <vt:i4>0</vt:i4>
      </vt:variant>
      <vt:variant>
        <vt:i4>5</vt:i4>
      </vt:variant>
      <vt:variant>
        <vt:lpwstr>mailto:SantiagV@lloyds.com</vt:lpwstr>
      </vt:variant>
      <vt:variant>
        <vt:lpwstr/>
      </vt:variant>
      <vt:variant>
        <vt:i4>5832814</vt:i4>
      </vt:variant>
      <vt:variant>
        <vt:i4>0</vt:i4>
      </vt:variant>
      <vt:variant>
        <vt:i4>0</vt:i4>
      </vt:variant>
      <vt:variant>
        <vt:i4>5</vt:i4>
      </vt:variant>
      <vt:variant>
        <vt:lpwstr>mailto:SantiagV@lloyds.com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
  <dc:creator>Gregory, Nikki</dc:creator>
  <cp:keywords/>
  <cp:lastModifiedBy>Santiago, Vince</cp:lastModifiedBy>
  <cp:revision>858</cp:revision>
  <cp:lastPrinted>2025-11-24T11:45:00Z</cp:lastPrinted>
  <dcterms:created xsi:type="dcterms:W3CDTF">2025-10-16T13:11:00Z</dcterms:created>
  <dcterms:modified xsi:type="dcterms:W3CDTF">2026-03-31T10:21:00Z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0x010100E9BE8ADF0917974C9B082B6091E5D349</vt:lpwstr>
  </property>
  <property fmtid="{D5CDD505-2E9C-101B-9397-08002B2CF9AE}" pid="3" name="MSIP_Label_b3b4ac1b-ad46-41e5-bbef-cfcc59b99d32_Enabled">
    <vt:lpwstr>true</vt:lpwstr>
  </property>
  <property fmtid="{D5CDD505-2E9C-101B-9397-08002B2CF9AE}" pid="4" name="MSIP_Label_b3b4ac1b-ad46-41e5-bbef-cfcc59b99d32_SetDate">
    <vt:lpwstr>2023-03-30T14:14:35Z</vt:lpwstr>
  </property>
  <property fmtid="{D5CDD505-2E9C-101B-9397-08002B2CF9AE}" pid="5" name="MSIP_Label_b3b4ac1b-ad46-41e5-bbef-cfcc59b99d32_Method">
    <vt:lpwstr>Standard</vt:lpwstr>
  </property>
  <property fmtid="{D5CDD505-2E9C-101B-9397-08002B2CF9AE}" pid="6" name="MSIP_Label_b3b4ac1b-ad46-41e5-bbef-cfcc59b99d32_Name">
    <vt:lpwstr>b3b4ac1b-ad46-41e5-bbef-cfcc59b99d32</vt:lpwstr>
  </property>
  <property fmtid="{D5CDD505-2E9C-101B-9397-08002B2CF9AE}" pid="7" name="MSIP_Label_b3b4ac1b-ad46-41e5-bbef-cfcc59b99d32_SiteId">
    <vt:lpwstr>8df4b91e-bf72-411d-9902-5ecc8f1e6c11</vt:lpwstr>
  </property>
  <property fmtid="{D5CDD505-2E9C-101B-9397-08002B2CF9AE}" pid="8" name="MSIP_Label_b3b4ac1b-ad46-41e5-bbef-cfcc59b99d32_ActionId">
    <vt:lpwstr>bbc03c34-92b6-45ea-af8f-e3864c008032</vt:lpwstr>
  </property>
  <property fmtid="{D5CDD505-2E9C-101B-9397-08002B2CF9AE}" pid="9" name="MSIP_Label_b3b4ac1b-ad46-41e5-bbef-cfcc59b99d32_ContentBits">
    <vt:lpwstr>2</vt:lpwstr>
  </property>
  <property fmtid="{D5CDD505-2E9C-101B-9397-08002B2CF9AE}" pid="10" name="TemplafyTenantId">
    <vt:lpwstr>lloyds</vt:lpwstr>
  </property>
  <property fmtid="{D5CDD505-2E9C-101B-9397-08002B2CF9AE}" pid="11" name="TemplafyTemplateId">
    <vt:lpwstr>638157832293012392</vt:lpwstr>
  </property>
  <property fmtid="{D5CDD505-2E9C-101B-9397-08002B2CF9AE}" pid="12" name="TemplafyUserProfileId">
    <vt:lpwstr>637994414829559379</vt:lpwstr>
  </property>
  <property fmtid="{D5CDD505-2E9C-101B-9397-08002B2CF9AE}" pid="13" name="TemplafyFromBlank">
    <vt:bool>false</vt:bool>
  </property>
  <property fmtid="{D5CDD505-2E9C-101B-9397-08002B2CF9AE}" pid="14" name="MediaServiceImageTags">
    <vt:lpwstr/>
  </property>
  <property fmtid="{D5CDD505-2E9C-101B-9397-08002B2CF9AE}" pid="15" name="Order">
    <vt:r8>432200</vt:r8>
  </property>
  <property fmtid="{D5CDD505-2E9C-101B-9397-08002B2CF9AE}" pid="16" name="xd_Signature">
    <vt:bool>false</vt:bool>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y fmtid="{D5CDD505-2E9C-101B-9397-08002B2CF9AE}" pid="22" name="Comments">
    <vt:lpwstr>Working draft to reflect changes resulting from your feedback liv</vt:lpwstr>
  </property>
  <property fmtid="{D5CDD505-2E9C-101B-9397-08002B2CF9AE}" pid="23" name="docLang">
    <vt:lpwstr>en</vt:lpwstr>
  </property>
</Properties>
</file>